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B9" w:rsidRDefault="004D3CB9" w:rsidP="00A4570F">
      <w:pPr>
        <w:jc w:val="center"/>
        <w:rPr>
          <w:b/>
          <w:color w:val="365F91" w:themeColor="accent1" w:themeShade="BF"/>
          <w:sz w:val="72"/>
          <w:szCs w:val="72"/>
          <w:lang w:val="es-ES"/>
        </w:rPr>
      </w:pPr>
    </w:p>
    <w:p w:rsidR="00043B1F" w:rsidRPr="00624C1C" w:rsidRDefault="00812BC1" w:rsidP="00A4570F">
      <w:pPr>
        <w:jc w:val="center"/>
        <w:rPr>
          <w:b/>
          <w:color w:val="365F91" w:themeColor="accent1" w:themeShade="BF"/>
          <w:sz w:val="72"/>
          <w:szCs w:val="72"/>
          <w:lang w:val="es-ES"/>
        </w:rPr>
      </w:pPr>
      <w:r w:rsidRPr="00812BC1">
        <w:rPr>
          <w:noProof/>
          <w:color w:val="365F91" w:themeColor="accent1" w:themeShade="BF"/>
          <w:sz w:val="72"/>
          <w:szCs w:val="72"/>
          <w:lang w:val="es-ES" w:bidi="en-US"/>
        </w:rPr>
        <w:pict>
          <v:group id="Group 39" o:spid="_x0000_s1026" style="position:absolute;left:0;text-align:left;margin-left:18176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4D3CB9">
        <w:rPr>
          <w:b/>
          <w:i/>
          <w:color w:val="365F91" w:themeColor="accent1" w:themeShade="BF"/>
          <w:sz w:val="72"/>
          <w:szCs w:val="72"/>
          <w:lang w:val="es-ES"/>
        </w:rPr>
        <w:t xml:space="preserve">Teología Sistemática, Tomo III, </w:t>
      </w:r>
      <w:r w:rsidR="00624C1C">
        <w:rPr>
          <w:b/>
          <w:color w:val="365F91" w:themeColor="accent1" w:themeShade="BF"/>
          <w:sz w:val="72"/>
          <w:szCs w:val="72"/>
          <w:lang w:val="es-ES"/>
        </w:rPr>
        <w:t>por J</w:t>
      </w:r>
      <w:r w:rsidR="004D3CB9">
        <w:rPr>
          <w:b/>
          <w:color w:val="365F91" w:themeColor="accent1" w:themeShade="BF"/>
          <w:sz w:val="72"/>
          <w:szCs w:val="72"/>
          <w:lang w:val="es-ES"/>
        </w:rPr>
        <w:t xml:space="preserve">. Oliver </w:t>
      </w:r>
      <w:proofErr w:type="spellStart"/>
      <w:r w:rsidR="004D3CB9">
        <w:rPr>
          <w:b/>
          <w:color w:val="365F91" w:themeColor="accent1" w:themeShade="BF"/>
          <w:sz w:val="72"/>
          <w:szCs w:val="72"/>
          <w:lang w:val="es-ES"/>
        </w:rPr>
        <w:t>Buswell</w:t>
      </w:r>
      <w:proofErr w:type="spellEnd"/>
      <w:r w:rsidR="004D3CB9">
        <w:rPr>
          <w:b/>
          <w:color w:val="365F91" w:themeColor="accent1" w:themeShade="BF"/>
          <w:sz w:val="72"/>
          <w:szCs w:val="72"/>
          <w:lang w:val="es-ES"/>
        </w:rPr>
        <w:t>, Jr.</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4D3CB9">
        <w:rPr>
          <w:rFonts w:asciiTheme="minorHAnsi" w:hAnsiTheme="minorHAnsi"/>
          <w:b/>
          <w:color w:val="365F91" w:themeColor="accent1" w:themeShade="BF"/>
          <w:sz w:val="72"/>
          <w:szCs w:val="72"/>
          <w:lang w:val="es-ES"/>
        </w:rPr>
        <w:t>Creemos en Jesús</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812BC1" w:rsidP="00F7261A">
      <w:pPr>
        <w:pStyle w:val="Header1"/>
        <w:jc w:val="center"/>
        <w:rPr>
          <w:rFonts w:ascii="Arial" w:hAnsi="Arial" w:cs="Arial"/>
          <w:color w:val="auto"/>
          <w:sz w:val="20"/>
          <w:lang w:val="es-ES"/>
        </w:rPr>
      </w:pPr>
      <w:r w:rsidRPr="00812BC1">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
                      <w:p w:rsidR="00B41325" w:rsidRDefault="00B41325" w:rsidP="00B41325">
                        <w:pPr>
                          <w:pStyle w:val="MediumShading1-Accent11"/>
                          <w:rPr>
                            <w:smallCaps/>
                            <w:sz w:val="40"/>
                            <w:szCs w:val="40"/>
                          </w:rPr>
                        </w:pPr>
                        <w:proofErr w:type="spellStart"/>
                        <w:r>
                          <w:rPr>
                            <w:smallCaps/>
                            <w:sz w:val="40"/>
                            <w:szCs w:val="40"/>
                          </w:rPr>
                          <w:t>Académicos</w:t>
                        </w:r>
                        <w:proofErr w:type="spellEnd"/>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812BC1"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xml:space="preserve">© 2018 por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Inc., 316 Live </w:t>
                  </w:r>
                  <w:proofErr w:type="spellStart"/>
                  <w:r w:rsidRPr="00043B1F">
                    <w:rPr>
                      <w:sz w:val="16"/>
                      <w:szCs w:val="16"/>
                      <w:lang w:val="es-ES"/>
                    </w:rPr>
                    <w:t>Oaks</w:t>
                  </w:r>
                  <w:proofErr w:type="spellEnd"/>
                  <w:r w:rsidRPr="00043B1F">
                    <w:rPr>
                      <w:sz w:val="16"/>
                      <w:szCs w:val="16"/>
                      <w:lang w:val="es-ES"/>
                    </w:rPr>
                    <w:t xml:space="preserve">. Boulevard, </w:t>
                  </w:r>
                  <w:proofErr w:type="spellStart"/>
                  <w:r w:rsidRPr="00043B1F">
                    <w:rPr>
                      <w:sz w:val="16"/>
                      <w:szCs w:val="16"/>
                      <w:lang w:val="es-ES"/>
                    </w:rPr>
                    <w:t>Casselberry</w:t>
                  </w:r>
                  <w:proofErr w:type="spellEnd"/>
                  <w:r w:rsidRPr="00043B1F">
                    <w:rPr>
                      <w:sz w:val="16"/>
                      <w:szCs w:val="16"/>
                      <w:lang w:val="es-ES"/>
                    </w:rPr>
                    <w:t>,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4978A5" w:rsidRDefault="004D3CB9" w:rsidP="004D3CB9">
      <w:pPr>
        <w:rPr>
          <w:b/>
          <w:lang w:val="es-CL"/>
        </w:rPr>
      </w:pPr>
      <w:r w:rsidRPr="004D3CB9">
        <w:rPr>
          <w:b/>
          <w:i/>
          <w:lang w:val="es-ES"/>
        </w:rPr>
        <w:t>Teología Sistemática</w:t>
      </w:r>
      <w:r>
        <w:rPr>
          <w:b/>
          <w:i/>
          <w:lang w:val="es-ES"/>
        </w:rPr>
        <w:t xml:space="preserve">, </w:t>
      </w:r>
      <w:r w:rsidRPr="004D3CB9">
        <w:rPr>
          <w:b/>
          <w:lang w:val="es-ES"/>
        </w:rPr>
        <w:t xml:space="preserve">Tomo III, J. Oliver </w:t>
      </w:r>
      <w:proofErr w:type="spellStart"/>
      <w:r w:rsidRPr="004D3CB9">
        <w:rPr>
          <w:b/>
          <w:lang w:val="es-ES"/>
        </w:rPr>
        <w:t>Buswell</w:t>
      </w:r>
      <w:proofErr w:type="spellEnd"/>
      <w:r w:rsidRPr="004D3CB9">
        <w:rPr>
          <w:b/>
          <w:lang w:val="es-ES"/>
        </w:rPr>
        <w:t>, Jr</w:t>
      </w:r>
      <w:r w:rsidR="00FF5654">
        <w:rPr>
          <w:b/>
          <w:lang w:val="es-ES"/>
        </w:rPr>
        <w:t>.</w:t>
      </w:r>
    </w:p>
    <w:p w:rsidR="004D3CB9" w:rsidRDefault="004D3CB9" w:rsidP="00D34CA0">
      <w:pPr>
        <w:rPr>
          <w:b/>
          <w:lang w:val="es-ES"/>
        </w:rPr>
      </w:pPr>
      <w:r w:rsidRPr="004D3CB9">
        <w:rPr>
          <w:b/>
          <w:lang w:val="es-ES"/>
        </w:rPr>
        <w:t>Jesucristo y el Plan de Salvación, Capítulos 1-7</w:t>
      </w:r>
    </w:p>
    <w:p w:rsidR="004D3CB9" w:rsidRDefault="004D3CB9" w:rsidP="00D34CA0">
      <w:pPr>
        <w:rPr>
          <w:b/>
          <w:lang w:val="es-ES"/>
        </w:rPr>
      </w:pPr>
    </w:p>
    <w:p w:rsidR="00D34CA0" w:rsidRPr="00D34CA0" w:rsidRDefault="00D34CA0" w:rsidP="00D34CA0">
      <w:pPr>
        <w:rPr>
          <w:b/>
          <w:lang w:val="es-ES"/>
        </w:rPr>
      </w:pPr>
      <w:r w:rsidRPr="00D34CA0">
        <w:rPr>
          <w:b/>
          <w:lang w:val="es-ES"/>
        </w:rPr>
        <w:t>PREGUNTAS DE REPASO</w:t>
      </w:r>
    </w:p>
    <w:p w:rsidR="00D34CA0" w:rsidRDefault="00D34CA0" w:rsidP="00D34CA0">
      <w:pPr>
        <w:rPr>
          <w:b/>
          <w:lang w:val="es-ES"/>
        </w:rPr>
      </w:pPr>
    </w:p>
    <w:p w:rsidR="004D3CB9" w:rsidRDefault="004D3CB9" w:rsidP="004D3CB9">
      <w:pPr>
        <w:rPr>
          <w:b/>
          <w:sz w:val="20"/>
          <w:szCs w:val="20"/>
          <w:lang w:val="es-ES"/>
        </w:rPr>
      </w:pPr>
    </w:p>
    <w:p w:rsidR="004D3CB9" w:rsidRPr="004D3CB9" w:rsidRDefault="004D3CB9" w:rsidP="004D3CB9">
      <w:pPr>
        <w:rPr>
          <w:b/>
          <w:sz w:val="20"/>
          <w:szCs w:val="20"/>
          <w:lang w:val="es-ES"/>
        </w:rPr>
      </w:pPr>
      <w:r w:rsidRPr="004D3CB9">
        <w:rPr>
          <w:b/>
          <w:sz w:val="20"/>
          <w:szCs w:val="20"/>
          <w:lang w:val="es-ES"/>
        </w:rPr>
        <w:t>Capítulo 1</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1. Según Dr. </w:t>
      </w:r>
      <w:proofErr w:type="spellStart"/>
      <w:r w:rsidRPr="00F8212B">
        <w:rPr>
          <w:sz w:val="20"/>
          <w:szCs w:val="20"/>
          <w:lang w:val="es-ES"/>
        </w:rPr>
        <w:t>Buswell</w:t>
      </w:r>
      <w:proofErr w:type="spellEnd"/>
      <w:r w:rsidRPr="00F8212B">
        <w:rPr>
          <w:sz w:val="20"/>
          <w:szCs w:val="20"/>
          <w:lang w:val="es-ES"/>
        </w:rPr>
        <w:t xml:space="preserve">, ¿qué indica el título "Hijo de Dios" cuando se aplica a Jesús?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2. ¿Qué significa cuando se le llama a Jesús el </w:t>
      </w:r>
      <w:r w:rsidR="00B54344" w:rsidRPr="00B54344">
        <w:rPr>
          <w:sz w:val="20"/>
          <w:szCs w:val="20"/>
          <w:lang w:val="es-ES"/>
        </w:rPr>
        <w:t>"primogénito de toda la creación" en Colosenses 1:15-17</w:t>
      </w:r>
      <w:r w:rsidRPr="00F8212B">
        <w:rPr>
          <w:sz w:val="20"/>
          <w:szCs w:val="20"/>
          <w:lang w:val="es-ES"/>
        </w:rPr>
        <w:t>?</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3. De acuerdo con Dr. </w:t>
      </w:r>
      <w:proofErr w:type="spellStart"/>
      <w:r w:rsidRPr="00F8212B">
        <w:rPr>
          <w:sz w:val="20"/>
          <w:szCs w:val="20"/>
          <w:lang w:val="es-ES"/>
        </w:rPr>
        <w:t>Buswell</w:t>
      </w:r>
      <w:proofErr w:type="spellEnd"/>
      <w:r w:rsidRPr="00F8212B">
        <w:rPr>
          <w:sz w:val="20"/>
          <w:szCs w:val="20"/>
          <w:lang w:val="es-ES"/>
        </w:rPr>
        <w:t xml:space="preserve">, ¿qué significa la palabra "unigénito" cuando se emplea con respecto a Jesús?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4 ¿Qué piensan los existencialistas, místicos, e irracionalistas acerca de la encarnación?</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5. La exposición de la encarnación de Jesús en Filipenses 2:1-11 surge de una exhortación pastoral. ¿Cuál es el tema de esta exhortación?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6. Filipenses 2:6 afirma que Jesús "se despojó a sí mismo". ¿Qué significa eso?, según </w:t>
      </w:r>
      <w:proofErr w:type="spellStart"/>
      <w:r w:rsidRPr="00F8212B">
        <w:rPr>
          <w:sz w:val="20"/>
          <w:szCs w:val="20"/>
          <w:lang w:val="es-ES"/>
        </w:rPr>
        <w:t>Buswell</w:t>
      </w:r>
      <w:proofErr w:type="spellEnd"/>
      <w:r w:rsidRPr="00F8212B">
        <w:rPr>
          <w:sz w:val="20"/>
          <w:szCs w:val="20"/>
          <w:lang w:val="es-ES"/>
        </w:rPr>
        <w:t xml:space="preserve">.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7. Hebreos 2:10 señala que Jesús "se perfeccionó a sí mismo". De acuerdo con el autor, ¿qué significa eso?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8. ¿Cómo explica </w:t>
      </w:r>
      <w:proofErr w:type="spellStart"/>
      <w:r w:rsidRPr="00F8212B">
        <w:rPr>
          <w:sz w:val="20"/>
          <w:szCs w:val="20"/>
          <w:lang w:val="es-ES"/>
        </w:rPr>
        <w:t>Buswell</w:t>
      </w:r>
      <w:proofErr w:type="spellEnd"/>
      <w:r w:rsidRPr="00F8212B">
        <w:rPr>
          <w:sz w:val="20"/>
          <w:szCs w:val="20"/>
          <w:lang w:val="es-ES"/>
        </w:rPr>
        <w:t xml:space="preserve"> el texto que afirma que Jesús "crecía en sabiduría"? ¿Cómo se puede decir eso en </w:t>
      </w:r>
      <w:proofErr w:type="gramStart"/>
      <w:r w:rsidRPr="00F8212B">
        <w:rPr>
          <w:sz w:val="20"/>
          <w:szCs w:val="20"/>
          <w:lang w:val="es-ES"/>
        </w:rPr>
        <w:t>cuanto</w:t>
      </w:r>
      <w:proofErr w:type="gramEnd"/>
      <w:r w:rsidRPr="00F8212B">
        <w:rPr>
          <w:sz w:val="20"/>
          <w:szCs w:val="20"/>
          <w:lang w:val="es-ES"/>
        </w:rPr>
        <w:t xml:space="preserve"> a Jesús, que era divino y omnisciente?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9. ¿En qué sentido la existencia del Nuevo Testamento confirma la veracidad de la resurrección?, según el autor.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10. ¿Por qué el movimiento cristiano es evidencia de la resurrección?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11. ¿Qué es el </w:t>
      </w:r>
      <w:proofErr w:type="spellStart"/>
      <w:r w:rsidRPr="00F8212B">
        <w:rPr>
          <w:sz w:val="20"/>
          <w:szCs w:val="20"/>
          <w:lang w:val="es-ES"/>
        </w:rPr>
        <w:t>Diatessaron</w:t>
      </w:r>
      <w:proofErr w:type="spellEnd"/>
      <w:r w:rsidRPr="00F8212B">
        <w:rPr>
          <w:sz w:val="20"/>
          <w:szCs w:val="20"/>
          <w:lang w:val="es-ES"/>
        </w:rPr>
        <w:t xml:space="preserve"> de </w:t>
      </w:r>
      <w:proofErr w:type="spellStart"/>
      <w:r w:rsidRPr="00F8212B">
        <w:rPr>
          <w:sz w:val="20"/>
          <w:szCs w:val="20"/>
          <w:lang w:val="es-ES"/>
        </w:rPr>
        <w:t>Taciano</w:t>
      </w:r>
      <w:proofErr w:type="spellEnd"/>
      <w:r w:rsidRPr="00F8212B">
        <w:rPr>
          <w:sz w:val="20"/>
          <w:szCs w:val="20"/>
          <w:lang w:val="es-ES"/>
        </w:rPr>
        <w:t xml:space="preserve">?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12. ¿Cuál es la fecha aproximada del documento más antiguo del Nuevo Testamento, y cuál es ese documento?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13. Cuando los opositores de Pablo lo acusaron, ¿qué evitaban cuidadosamente?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14. ¿Cuál es la importancia teológica del nacimiento virginal de Jesús?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15. ¿Cómo muestra el contexto de Isaías 7:14 que la predicción trata del nacimiento de una virgen? </w:t>
      </w:r>
    </w:p>
    <w:p w:rsidR="004D3CB9" w:rsidRDefault="004D3CB9" w:rsidP="004D3CB9">
      <w:pPr>
        <w:rPr>
          <w:sz w:val="20"/>
          <w:szCs w:val="20"/>
          <w:lang w:val="es-ES"/>
        </w:rPr>
      </w:pPr>
    </w:p>
    <w:p w:rsidR="004D3CB9" w:rsidRDefault="004D3CB9" w:rsidP="004D3CB9">
      <w:pPr>
        <w:rPr>
          <w:b/>
          <w:sz w:val="20"/>
          <w:szCs w:val="20"/>
          <w:lang w:val="es-ES"/>
        </w:rPr>
      </w:pPr>
    </w:p>
    <w:p w:rsidR="004D3CB9" w:rsidRDefault="004D3CB9" w:rsidP="004D3CB9">
      <w:pPr>
        <w:rPr>
          <w:b/>
          <w:sz w:val="20"/>
          <w:szCs w:val="20"/>
          <w:lang w:val="es-ES"/>
        </w:rPr>
      </w:pPr>
    </w:p>
    <w:p w:rsidR="004D3CB9" w:rsidRPr="004D3CB9" w:rsidRDefault="004D3CB9" w:rsidP="004D3CB9">
      <w:pPr>
        <w:rPr>
          <w:b/>
          <w:sz w:val="20"/>
          <w:szCs w:val="20"/>
          <w:lang w:val="es-ES"/>
        </w:rPr>
      </w:pPr>
      <w:r w:rsidRPr="004D3CB9">
        <w:rPr>
          <w:b/>
          <w:sz w:val="20"/>
          <w:szCs w:val="20"/>
          <w:lang w:val="es-ES"/>
        </w:rPr>
        <w:t>Capítulo 2</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1. ¿Cuál es el punto de vista ortodoxo acerca de la persona y naturalezas de Cristo?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2. Describa el punto de vista de la herejía nestoriana acerca de Cristo.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3. Identifique la herejía que afirmaba la divinidad de Jesús, pero negaba completamente Su naturaleza humana, diciendo que solamente parecía ser humano.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4. Identifique la herejía que afirmaba la naturaleza humana de Jesús, pero minimizaba Su naturaleza divina.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5. Identifique la herejía que sostenía que Cristo era dos personas.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6. Explique la doctrina de la "tricotomía".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7. ¿En qué sentido tenía Jesús dos naturalezas?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8. Según </w:t>
      </w:r>
      <w:proofErr w:type="spellStart"/>
      <w:r w:rsidRPr="00F8212B">
        <w:rPr>
          <w:sz w:val="20"/>
          <w:szCs w:val="20"/>
          <w:lang w:val="es-ES"/>
        </w:rPr>
        <w:t>Buswell</w:t>
      </w:r>
      <w:proofErr w:type="spellEnd"/>
      <w:r w:rsidRPr="00F8212B">
        <w:rPr>
          <w:sz w:val="20"/>
          <w:szCs w:val="20"/>
          <w:lang w:val="es-ES"/>
        </w:rPr>
        <w:t xml:space="preserve">, ¿qué significa que Jesús fue tentado "en todo según nuestra semejanza"?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9. ¿Cómo explica </w:t>
      </w:r>
      <w:proofErr w:type="spellStart"/>
      <w:r w:rsidRPr="00F8212B">
        <w:rPr>
          <w:sz w:val="20"/>
          <w:szCs w:val="20"/>
          <w:lang w:val="es-ES"/>
        </w:rPr>
        <w:t>Buswell</w:t>
      </w:r>
      <w:proofErr w:type="spellEnd"/>
      <w:r w:rsidRPr="00F8212B">
        <w:rPr>
          <w:sz w:val="20"/>
          <w:szCs w:val="20"/>
          <w:lang w:val="es-ES"/>
        </w:rPr>
        <w:t xml:space="preserve"> el pasaje en el que Jesús pide "que pase de mí esta copa"? </w:t>
      </w:r>
    </w:p>
    <w:p w:rsidR="004D3CB9" w:rsidRPr="00F8212B" w:rsidRDefault="004D3CB9" w:rsidP="004D3CB9">
      <w:pPr>
        <w:rPr>
          <w:sz w:val="20"/>
          <w:szCs w:val="20"/>
          <w:lang w:val="es-ES"/>
        </w:rPr>
      </w:pPr>
    </w:p>
    <w:p w:rsidR="004D3CB9" w:rsidRDefault="004D3CB9" w:rsidP="004D3CB9">
      <w:pPr>
        <w:rPr>
          <w:b/>
          <w:sz w:val="20"/>
          <w:szCs w:val="20"/>
          <w:lang w:val="es-ES"/>
        </w:rPr>
      </w:pPr>
    </w:p>
    <w:p w:rsidR="004D3CB9" w:rsidRPr="004D3CB9" w:rsidRDefault="004D3CB9" w:rsidP="004D3CB9">
      <w:pPr>
        <w:rPr>
          <w:b/>
          <w:sz w:val="20"/>
          <w:szCs w:val="20"/>
          <w:lang w:val="es-ES"/>
        </w:rPr>
      </w:pPr>
      <w:r w:rsidRPr="004D3CB9">
        <w:rPr>
          <w:b/>
          <w:sz w:val="20"/>
          <w:szCs w:val="20"/>
          <w:lang w:val="es-ES"/>
        </w:rPr>
        <w:t>Capítulo 3</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1. Según el autor, ¿los credos más antiguos de la Iglesia eran explícitos acerca de la doctrina de la expiación? ¿Por qué?</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2. Explique el error de la teoría patrística del rescate.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3. Según Anselmo, ¿por qué fue necesaria la muerte de Jesús?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4. ¿Qué decía Anselmo acerca de lo que Jesús tendría que haber hecho para salvar a los ángeles caídos?</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5. ¿Qué es la teoría moral de la muerte de Cristo?</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6. Describa el concepto "místico" de la salvación en Cristo. </w:t>
      </w:r>
    </w:p>
    <w:p w:rsidR="004D3CB9" w:rsidRPr="00F8212B" w:rsidRDefault="004D3CB9" w:rsidP="004D3CB9">
      <w:pPr>
        <w:rPr>
          <w:sz w:val="20"/>
          <w:szCs w:val="20"/>
          <w:lang w:val="es-ES"/>
        </w:rPr>
      </w:pPr>
    </w:p>
    <w:p w:rsidR="004D3CB9" w:rsidRPr="00F8212B" w:rsidRDefault="004D3CB9" w:rsidP="004D3CB9">
      <w:pPr>
        <w:rPr>
          <w:sz w:val="20"/>
          <w:szCs w:val="20"/>
          <w:lang w:val="es-ES"/>
        </w:rPr>
      </w:pPr>
    </w:p>
    <w:p w:rsidR="004D3CB9" w:rsidRPr="004D3CB9" w:rsidRDefault="004D3CB9" w:rsidP="004D3CB9">
      <w:pPr>
        <w:rPr>
          <w:b/>
          <w:sz w:val="20"/>
          <w:szCs w:val="20"/>
          <w:lang w:val="es-ES"/>
        </w:rPr>
      </w:pPr>
      <w:r w:rsidRPr="004D3CB9">
        <w:rPr>
          <w:b/>
          <w:sz w:val="20"/>
          <w:szCs w:val="20"/>
          <w:lang w:val="es-ES"/>
        </w:rPr>
        <w:t>NOTAS ADICIONALES</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Aunque el texto de J. Oliver </w:t>
      </w:r>
      <w:proofErr w:type="spellStart"/>
      <w:r w:rsidRPr="00F8212B">
        <w:rPr>
          <w:sz w:val="20"/>
          <w:szCs w:val="20"/>
          <w:lang w:val="es-ES"/>
        </w:rPr>
        <w:t>Buswell</w:t>
      </w:r>
      <w:proofErr w:type="spellEnd"/>
      <w:r w:rsidRPr="00F8212B">
        <w:rPr>
          <w:sz w:val="20"/>
          <w:szCs w:val="20"/>
          <w:lang w:val="es-ES"/>
        </w:rPr>
        <w:t xml:space="preserve"> es excelente, y mayormente coincide con la doctrina evangélica tradicional, en algunos casos tiene un enfoque muy propio. En algunas lecciones, notaremos las opiniones de otros teólogos importantes, para que el alumno compare la doctrina de </w:t>
      </w:r>
      <w:proofErr w:type="spellStart"/>
      <w:r w:rsidRPr="00F8212B">
        <w:rPr>
          <w:sz w:val="20"/>
          <w:szCs w:val="20"/>
          <w:lang w:val="es-ES"/>
        </w:rPr>
        <w:t>Buswell</w:t>
      </w:r>
      <w:proofErr w:type="spellEnd"/>
      <w:r w:rsidRPr="00F8212B">
        <w:rPr>
          <w:sz w:val="20"/>
          <w:szCs w:val="20"/>
          <w:lang w:val="es-ES"/>
        </w:rPr>
        <w:t xml:space="preserve"> con el pensamiento de ellos.</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lastRenderedPageBreak/>
        <w:t>Nota: "Dios mío, Dios mío, ¿por qué me has desamparado?"</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La interpretación de </w:t>
      </w:r>
      <w:proofErr w:type="spellStart"/>
      <w:r w:rsidRPr="00F8212B">
        <w:rPr>
          <w:sz w:val="20"/>
          <w:szCs w:val="20"/>
          <w:lang w:val="es-ES"/>
        </w:rPr>
        <w:t>Buswell</w:t>
      </w:r>
      <w:proofErr w:type="spellEnd"/>
      <w:r w:rsidRPr="00F8212B">
        <w:rPr>
          <w:sz w:val="20"/>
          <w:szCs w:val="20"/>
          <w:lang w:val="es-ES"/>
        </w:rPr>
        <w:t xml:space="preserve"> respecto a las palabras de Jesús: "Dios mío, Dios mío, ¿por qué me has desamparado?"  </w:t>
      </w:r>
      <w:proofErr w:type="gramStart"/>
      <w:r w:rsidRPr="00F8212B">
        <w:rPr>
          <w:sz w:val="20"/>
          <w:szCs w:val="20"/>
          <w:lang w:val="es-ES"/>
        </w:rPr>
        <w:t>no</w:t>
      </w:r>
      <w:proofErr w:type="gramEnd"/>
      <w:r w:rsidRPr="00F8212B">
        <w:rPr>
          <w:sz w:val="20"/>
          <w:szCs w:val="20"/>
          <w:lang w:val="es-ES"/>
        </w:rPr>
        <w:t xml:space="preserve"> es compartida por muchos teólogos evangélicos. </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Para aportar a esta discusión, lea las siguientes citas de la Biblia, de catecismos, y teólogos:</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Romanos 8.3</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"Porque lo que era imposible para la ley, por cuanto era débil por la carne, Dios, enviando a su Hijo en semejanza de carne de pecado y a causa del pecado, condenó al pecado en la carne." </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Isaías 53.4-5</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"Ciertamente llevó él nuestras enfermedades, y sufrió nuestros dolores; y nosotros le tuvimos por azotado, por herido de Dios y abatido. Mas él herido fue por nuestros pecados; el castigo de nuestra paz fue sobre él, y por su llaga fuimos nosotros curados." </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El Catecismo de Heidelberg (pregunta 7)</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"…Durante el tiempo que vivió en la tierra, pero especialmente en el final de su vida, llevó en su alma la ira de Dios en contra del pecado de toda la raza humana".</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El Catecismo Menor de Westminster (Pregunta 27)</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"¿En qué consistió la humillación de Cristo? La humillación de Cristo consistió en haber nacido, y esto en una baja condición; sujeto a la ley, sufriendo las miserias de esta vida, la ira de Dios y la muerte maldita de la cruz; en haber sido sepultado y en haber permanecido bajo el dominio de la muerte por algún tiempo."</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Luis </w:t>
      </w:r>
      <w:proofErr w:type="spellStart"/>
      <w:r w:rsidRPr="00F8212B">
        <w:rPr>
          <w:sz w:val="20"/>
          <w:szCs w:val="20"/>
          <w:lang w:val="es-ES"/>
        </w:rPr>
        <w:t>Berkhof</w:t>
      </w:r>
      <w:proofErr w:type="spellEnd"/>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"Hay que considerar la muerte de Cristo desde este punto de vista judicial. Dios impuso el castigo de la muerte sobre el Mediador, judicialmente, puesto que este decidió por su voluntad el pago de la pena por el pecado de la raza humana… Estuvo sometido no solo a la muerte física, sino también a la eterna, aunque esto lo sufrió intensiva y no extensivamente, cuando agonizó en el jardín y cuando clamó en la cruz: 'Dios mío, Dios mío, ¿por qué me has desamparado?' Durante un breve tiempo sufrió la ira infinita en contra del pecado hasta el final y salió victorioso. Esto fue posible únicamente a causa de su naturaleza extraordinaria.  No obstante en este punto debemos estar alerta contra un error. La muerte eterna en el caso de Cristo no consistió en una abrogación de la unión del Logos con la naturaleza humana, ni en que la naturaleza divina hubiera sido apartada de Dios, ni tampoco en que el Padre hubiera retirado su amor y beneplácito de la persona del Mediador. </w:t>
      </w:r>
    </w:p>
    <w:p w:rsidR="004D3CB9" w:rsidRPr="00F8212B" w:rsidRDefault="004D3CB9" w:rsidP="004D3CB9">
      <w:pPr>
        <w:rPr>
          <w:sz w:val="20"/>
          <w:szCs w:val="20"/>
          <w:lang w:val="es-ES"/>
        </w:rPr>
      </w:pPr>
      <w:r w:rsidRPr="00F8212B">
        <w:rPr>
          <w:sz w:val="20"/>
          <w:szCs w:val="20"/>
          <w:lang w:val="es-ES"/>
        </w:rPr>
        <w:t xml:space="preserve">"El Logos permaneció unido a la naturaleza humana aun cuando el cuerpo yacía en la tumba; la naturaleza divina no podía ser apartada de Dios; y la persona del Mediador estaba y continuaba siendo objeto del favor divino. La muerte eterna se dejó ver en la conciencia humana del Mediador como un sentimiento de abandono por parte de Dios. Esto implica que la naturaleza humana, por un momento, perdió el consuelo que debería derivar de su unión con el Logos divino y su amor, y se sintió dolorosamente consciente de la plenitud de la ira divina que </w:t>
      </w:r>
      <w:r w:rsidRPr="00F8212B">
        <w:rPr>
          <w:sz w:val="20"/>
          <w:szCs w:val="20"/>
          <w:lang w:val="es-ES"/>
        </w:rPr>
        <w:lastRenderedPageBreak/>
        <w:t>estaba cayendo sobre Él. Pero no hubo desesperación, porque aun en la más negra hora, en tanto que exclamaba que estaba abandonado, dirigió su oración a Dios" (Teología Sistemática, T.E.L.L., Michigan, 1995, pp. 403-404).</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Guillermo </w:t>
      </w:r>
      <w:proofErr w:type="spellStart"/>
      <w:r w:rsidRPr="00F8212B">
        <w:rPr>
          <w:sz w:val="20"/>
          <w:szCs w:val="20"/>
          <w:lang w:val="es-ES"/>
        </w:rPr>
        <w:t>Hendriksen</w:t>
      </w:r>
      <w:proofErr w:type="spellEnd"/>
      <w:r w:rsidRPr="00F8212B">
        <w:rPr>
          <w:sz w:val="20"/>
          <w:szCs w:val="20"/>
          <w:lang w:val="es-ES"/>
        </w:rPr>
        <w:t xml:space="preserve"> (Comentario sobre Mateo 27.46)</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"Se ha preguntado: 'Pero ¿cómo podría Dios abandonar a Dios?' La respuesta debe ser que Dios el Padre abandonó al Hijo en cuanto a su naturaleza humana, y aun esto en un sentido limitado, aunque muy real y agonizante. El sentido no puede ser que hubo un tiempo en que Dios el Padre dejó de amar a su Hijo. Tampoco puede significar que el Hijo haya en alguna forma rechazado al Padre. ¡Lejos de ser así! Lo llamaba 'Dios mío, Dios mío'. Y por esa misma razón podemos estar seguros de que el Padre lo amaba tanto como siempre.</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"Entonces, ¿cómo podemos atribuir un significado razonable a esta expresión de profunda angustia? Quizás pueda ayudarnos una ilustración, aunque debemos añadir inmediatamente que ninguna analogía tomada de las cosas que suceden a los humanos en la tierra puede siquiera comenzar a hacer justicia a la experiencia única del Hijo de Dios. Sin embargo, la ilustración puede ser valiosa en cierto grado. Digamos que aquí hay un niño que está muy enfermo. Es todavía muy pequeño para entender por qué debe ir al hospital y sobre todo por qué mientras está allí, quizás en la unidad de cuidados intensivos, sus padres no pueden acompañarlo. Ellos lo aman tanto como antes. Pero puede haber momentos en que el niño extraña la presencia de su padre o su madre en tal forma que experimente una angustia profunda. Así también ocurre con el Mediador. Su alma se esfuerza por asirse de Aquel a quien llama 'Dios mío', pero su Dios no le responde. ¿No es exactamente esa la forma en que se interpreta el grito de agonía en el contexto del Salmo 22?" (Comentario del Nuevo Testamento, Exposición del Evangelio según San Mateo, Libros Desafío, Grand Rapids, Michigan, 1986, pp. 1019-1020)</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Juan Calvino (</w:t>
      </w:r>
      <w:proofErr w:type="spellStart"/>
      <w:r w:rsidRPr="00F8212B">
        <w:rPr>
          <w:sz w:val="20"/>
          <w:szCs w:val="20"/>
          <w:lang w:val="es-ES"/>
        </w:rPr>
        <w:t>Buswell</w:t>
      </w:r>
      <w:proofErr w:type="spellEnd"/>
      <w:r w:rsidRPr="00F8212B">
        <w:rPr>
          <w:sz w:val="20"/>
          <w:szCs w:val="20"/>
          <w:lang w:val="es-ES"/>
        </w:rPr>
        <w:t xml:space="preserve"> cita la primera mitad del párrafo. Aquí citamos la segunda mitad.)</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"Lo que afirmamos es que Cristo sufrió en sí mismo el gran peso de la ira de Dios, porque al ser herido y afligido por la mano divina experimentó todas las señales que Dios muestra cuando está airado y castiga. Por eso dice San Hilario, que con esta bajada a los infiernos hemos conseguido el beneficio de que la muerte se muera" (Institución de la Religión Cristiana, Nueva Creación, Buenos Aires, Argentina-Grand Rapids, Michigan, EE.UU., 1996, Libro II, cap. XVI, sección 11, p. 383.)</w:t>
      </w:r>
    </w:p>
    <w:p w:rsidR="004D3CB9" w:rsidRPr="00F8212B" w:rsidRDefault="004D3CB9" w:rsidP="004D3CB9">
      <w:pPr>
        <w:rPr>
          <w:sz w:val="20"/>
          <w:szCs w:val="20"/>
          <w:lang w:val="es-ES"/>
        </w:rPr>
      </w:pPr>
    </w:p>
    <w:p w:rsidR="004D3CB9" w:rsidRPr="00F8212B" w:rsidRDefault="004D3CB9" w:rsidP="004D3CB9">
      <w:pPr>
        <w:rPr>
          <w:sz w:val="20"/>
          <w:szCs w:val="20"/>
          <w:lang w:val="es-ES"/>
        </w:rPr>
      </w:pPr>
    </w:p>
    <w:p w:rsidR="004D3CB9" w:rsidRPr="004D3CB9" w:rsidRDefault="004D3CB9" w:rsidP="004D3CB9">
      <w:pPr>
        <w:rPr>
          <w:b/>
          <w:sz w:val="20"/>
          <w:szCs w:val="20"/>
          <w:lang w:val="es-ES"/>
        </w:rPr>
      </w:pPr>
      <w:r w:rsidRPr="004D3CB9">
        <w:rPr>
          <w:b/>
          <w:sz w:val="20"/>
          <w:szCs w:val="20"/>
          <w:lang w:val="es-ES"/>
        </w:rPr>
        <w:t>Capítulo 4</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1. Según el autor, ¿qué fue la causa inmediata del sufrimiento de Jesús?</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2. ¿Cuál es el error de la misa católica?, de acuerdo con </w:t>
      </w:r>
      <w:proofErr w:type="spellStart"/>
      <w:r w:rsidRPr="00F8212B">
        <w:rPr>
          <w:sz w:val="20"/>
          <w:szCs w:val="20"/>
          <w:lang w:val="es-ES"/>
        </w:rPr>
        <w:t>Buswell</w:t>
      </w:r>
      <w:proofErr w:type="spellEnd"/>
      <w:r w:rsidRPr="00F8212B">
        <w:rPr>
          <w:sz w:val="20"/>
          <w:szCs w:val="20"/>
          <w:lang w:val="es-ES"/>
        </w:rPr>
        <w:t xml:space="preserve">.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3. Según el autor, ¿qué es el pecado imperdonable?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4. ¿Cómo interpreta </w:t>
      </w:r>
      <w:proofErr w:type="spellStart"/>
      <w:r w:rsidRPr="00F8212B">
        <w:rPr>
          <w:sz w:val="20"/>
          <w:szCs w:val="20"/>
          <w:lang w:val="es-ES"/>
        </w:rPr>
        <w:t>Buswell</w:t>
      </w:r>
      <w:proofErr w:type="spellEnd"/>
      <w:r w:rsidRPr="00F8212B">
        <w:rPr>
          <w:sz w:val="20"/>
          <w:szCs w:val="20"/>
          <w:lang w:val="es-ES"/>
        </w:rPr>
        <w:t xml:space="preserve"> Hebreos 6:4-6? ¿Quiénes son las personas que aparentemente han perdido la fe y la salvación?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5. Según </w:t>
      </w:r>
      <w:proofErr w:type="spellStart"/>
      <w:r w:rsidRPr="00F8212B">
        <w:rPr>
          <w:sz w:val="20"/>
          <w:szCs w:val="20"/>
          <w:lang w:val="es-ES"/>
        </w:rPr>
        <w:t>Buswell</w:t>
      </w:r>
      <w:proofErr w:type="spellEnd"/>
      <w:r w:rsidRPr="00F8212B">
        <w:rPr>
          <w:sz w:val="20"/>
          <w:szCs w:val="20"/>
          <w:lang w:val="es-ES"/>
        </w:rPr>
        <w:t xml:space="preserve">, ¿en qué consiste la "obediencia activa" de Cristo?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lastRenderedPageBreak/>
        <w:t xml:space="preserve">6. ¿Cuál es la interpretación de </w:t>
      </w:r>
      <w:proofErr w:type="spellStart"/>
      <w:r w:rsidRPr="00F8212B">
        <w:rPr>
          <w:sz w:val="20"/>
          <w:szCs w:val="20"/>
          <w:lang w:val="es-ES"/>
        </w:rPr>
        <w:t>Buswell</w:t>
      </w:r>
      <w:proofErr w:type="spellEnd"/>
      <w:r w:rsidRPr="00F8212B">
        <w:rPr>
          <w:sz w:val="20"/>
          <w:szCs w:val="20"/>
          <w:lang w:val="es-ES"/>
        </w:rPr>
        <w:t xml:space="preserve"> acerca de Romanos 7:7-8:4? ¿Piensa él que se refiere a la lucha de un creyente o de un no creyente?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7. Según </w:t>
      </w:r>
      <w:proofErr w:type="spellStart"/>
      <w:r w:rsidRPr="00F8212B">
        <w:rPr>
          <w:sz w:val="20"/>
          <w:szCs w:val="20"/>
          <w:lang w:val="es-ES"/>
        </w:rPr>
        <w:t>Buswell</w:t>
      </w:r>
      <w:proofErr w:type="spellEnd"/>
      <w:r w:rsidRPr="00F8212B">
        <w:rPr>
          <w:sz w:val="20"/>
          <w:szCs w:val="20"/>
          <w:lang w:val="es-ES"/>
        </w:rPr>
        <w:t xml:space="preserve">, ¿por qué es importante describir la salvación de acuerdo con el concepto del pacto?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8. Ya que la cruz es la gloria de Cristo, ¿cómo debemos vivir?, según </w:t>
      </w:r>
      <w:proofErr w:type="spellStart"/>
      <w:r w:rsidRPr="00F8212B">
        <w:rPr>
          <w:sz w:val="20"/>
          <w:szCs w:val="20"/>
          <w:lang w:val="es-ES"/>
        </w:rPr>
        <w:t>Buswell</w:t>
      </w:r>
      <w:proofErr w:type="spellEnd"/>
      <w:r w:rsidRPr="00F8212B">
        <w:rPr>
          <w:sz w:val="20"/>
          <w:szCs w:val="20"/>
          <w:lang w:val="es-ES"/>
        </w:rPr>
        <w:t xml:space="preserve">. </w:t>
      </w:r>
    </w:p>
    <w:p w:rsidR="004D3CB9" w:rsidRPr="004D3CB9" w:rsidRDefault="004D3CB9" w:rsidP="004D3CB9">
      <w:pPr>
        <w:rPr>
          <w:b/>
          <w:sz w:val="20"/>
          <w:szCs w:val="20"/>
          <w:lang w:val="es-ES"/>
        </w:rPr>
      </w:pPr>
    </w:p>
    <w:p w:rsidR="004D3CB9" w:rsidRDefault="004D3CB9" w:rsidP="004D3CB9">
      <w:pPr>
        <w:rPr>
          <w:b/>
          <w:sz w:val="20"/>
          <w:szCs w:val="20"/>
          <w:lang w:val="es-ES"/>
        </w:rPr>
      </w:pPr>
    </w:p>
    <w:p w:rsidR="004D3CB9" w:rsidRPr="004D3CB9" w:rsidRDefault="004D3CB9" w:rsidP="004D3CB9">
      <w:pPr>
        <w:rPr>
          <w:b/>
          <w:sz w:val="20"/>
          <w:szCs w:val="20"/>
          <w:lang w:val="es-ES"/>
        </w:rPr>
      </w:pPr>
      <w:r w:rsidRPr="004D3CB9">
        <w:rPr>
          <w:b/>
          <w:sz w:val="20"/>
          <w:szCs w:val="20"/>
          <w:lang w:val="es-ES"/>
        </w:rPr>
        <w:t>Capítulo 5</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1. Explique la posición "</w:t>
      </w:r>
      <w:proofErr w:type="spellStart"/>
      <w:r w:rsidRPr="00F8212B">
        <w:rPr>
          <w:sz w:val="20"/>
          <w:szCs w:val="20"/>
          <w:lang w:val="es-ES"/>
        </w:rPr>
        <w:t>supralapsaria</w:t>
      </w:r>
      <w:proofErr w:type="spellEnd"/>
      <w:r w:rsidRPr="00F8212B">
        <w:rPr>
          <w:sz w:val="20"/>
          <w:szCs w:val="20"/>
          <w:lang w:val="es-ES"/>
        </w:rPr>
        <w:t xml:space="preserve">" acerca del orden de los decretos.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2. Explique la posición "</w:t>
      </w:r>
      <w:proofErr w:type="spellStart"/>
      <w:r w:rsidRPr="00F8212B">
        <w:rPr>
          <w:sz w:val="20"/>
          <w:szCs w:val="20"/>
          <w:lang w:val="es-ES"/>
        </w:rPr>
        <w:t>infralapsaria</w:t>
      </w:r>
      <w:proofErr w:type="spellEnd"/>
      <w:r w:rsidRPr="00F8212B">
        <w:rPr>
          <w:sz w:val="20"/>
          <w:szCs w:val="20"/>
          <w:lang w:val="es-ES"/>
        </w:rPr>
        <w:t xml:space="preserve">" acerca del orden de los decretos.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3. Describa el contexto histórico de la formación de los "cinco puntos del calvinismo".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4. Explique la doctrina de la "incapacidad total", como la entienden los calvinistas.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5. Explique la doctrina de la "elección incondicional", como la entienden los calvinistas.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6. Explique la doctrina de la "expiación particular, como la entienden los calvinistas.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7. ¿En qué sentido los calvinistas creen que la expiación es universal?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8. Explique la doctrina de la "gracia irresistible", como la entienden los calvinistas.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9. Explique la doctrina de la "perseverancia de los santos", como la entienden los calvinistas.</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10. Explique la interpretación de </w:t>
      </w:r>
      <w:proofErr w:type="spellStart"/>
      <w:r w:rsidRPr="00F8212B">
        <w:rPr>
          <w:sz w:val="20"/>
          <w:szCs w:val="20"/>
          <w:lang w:val="es-ES"/>
        </w:rPr>
        <w:t>Buswell</w:t>
      </w:r>
      <w:proofErr w:type="spellEnd"/>
      <w:r w:rsidRPr="00F8212B">
        <w:rPr>
          <w:sz w:val="20"/>
          <w:szCs w:val="20"/>
          <w:lang w:val="es-ES"/>
        </w:rPr>
        <w:t xml:space="preserve"> acerca de la "doble predestinación". </w:t>
      </w:r>
    </w:p>
    <w:p w:rsidR="004D3CB9" w:rsidRPr="00F8212B" w:rsidRDefault="004D3CB9" w:rsidP="004D3CB9">
      <w:pPr>
        <w:rPr>
          <w:sz w:val="20"/>
          <w:szCs w:val="20"/>
          <w:lang w:val="es-ES"/>
        </w:rPr>
      </w:pPr>
    </w:p>
    <w:p w:rsidR="004D3CB9" w:rsidRPr="004D3CB9" w:rsidRDefault="004D3CB9" w:rsidP="004D3CB9">
      <w:pPr>
        <w:rPr>
          <w:b/>
          <w:sz w:val="20"/>
          <w:szCs w:val="20"/>
          <w:lang w:val="es-ES"/>
        </w:rPr>
      </w:pPr>
      <w:r w:rsidRPr="004D3CB9">
        <w:rPr>
          <w:b/>
          <w:sz w:val="20"/>
          <w:szCs w:val="20"/>
          <w:lang w:val="es-ES"/>
        </w:rPr>
        <w:t xml:space="preserve">Nota: </w:t>
      </w:r>
      <w:proofErr w:type="gramStart"/>
      <w:r w:rsidRPr="004D3CB9">
        <w:rPr>
          <w:b/>
          <w:sz w:val="20"/>
          <w:szCs w:val="20"/>
          <w:lang w:val="es-ES"/>
        </w:rPr>
        <w:t>Romanos</w:t>
      </w:r>
      <w:proofErr w:type="gramEnd"/>
      <w:r w:rsidRPr="004D3CB9">
        <w:rPr>
          <w:b/>
          <w:sz w:val="20"/>
          <w:szCs w:val="20"/>
          <w:lang w:val="es-ES"/>
        </w:rPr>
        <w:t xml:space="preserve"> 7</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Romanos 7 ha sido un pasaje clave en el debate entre calvinistas y </w:t>
      </w:r>
      <w:proofErr w:type="spellStart"/>
      <w:r w:rsidRPr="00F8212B">
        <w:rPr>
          <w:sz w:val="20"/>
          <w:szCs w:val="20"/>
          <w:lang w:val="es-ES"/>
        </w:rPr>
        <w:t>arminianos</w:t>
      </w:r>
      <w:proofErr w:type="spellEnd"/>
      <w:r w:rsidRPr="00F8212B">
        <w:rPr>
          <w:sz w:val="20"/>
          <w:szCs w:val="20"/>
          <w:lang w:val="es-ES"/>
        </w:rPr>
        <w:t xml:space="preserve">. El teólogo holandés, Jacobo </w:t>
      </w:r>
      <w:proofErr w:type="spellStart"/>
      <w:r w:rsidRPr="00F8212B">
        <w:rPr>
          <w:sz w:val="20"/>
          <w:szCs w:val="20"/>
          <w:lang w:val="es-ES"/>
        </w:rPr>
        <w:t>Arminio</w:t>
      </w:r>
      <w:proofErr w:type="spellEnd"/>
      <w:r w:rsidRPr="00F8212B">
        <w:rPr>
          <w:sz w:val="20"/>
          <w:szCs w:val="20"/>
          <w:lang w:val="es-ES"/>
        </w:rPr>
        <w:t xml:space="preserve"> (1560-1609), se apartó de los calvinistas porque interpretó Romanos 7 como la experiencia de un hombre antes de su conversión, y sacó la conclusión de que el hombre tiene algo bueno en sí mismo antes de ser regenerado. Por lo tanto, se opuso a la idea de la predestinación y enfatizó el libre albedrío y la decisión humana en la salvación. (Para los calvinistas, esto significaba adoptar una versión de pelagianismo, doctrina condenada por el Sínodo de Cartago, 416.) Los seguidores de </w:t>
      </w:r>
      <w:proofErr w:type="spellStart"/>
      <w:r w:rsidRPr="00F8212B">
        <w:rPr>
          <w:sz w:val="20"/>
          <w:szCs w:val="20"/>
          <w:lang w:val="es-ES"/>
        </w:rPr>
        <w:t>Arminio</w:t>
      </w:r>
      <w:proofErr w:type="spellEnd"/>
      <w:r w:rsidRPr="00F8212B">
        <w:rPr>
          <w:sz w:val="20"/>
          <w:szCs w:val="20"/>
          <w:lang w:val="es-ES"/>
        </w:rPr>
        <w:t xml:space="preserve"> escribieron los cinco puntos contra Calvino, lo cual causó una reacción de los calvinistas, que se reunieron en el Concilio de </w:t>
      </w:r>
      <w:proofErr w:type="spellStart"/>
      <w:r w:rsidRPr="00F8212B">
        <w:rPr>
          <w:sz w:val="20"/>
          <w:szCs w:val="20"/>
          <w:lang w:val="es-ES"/>
        </w:rPr>
        <w:t>Dort</w:t>
      </w:r>
      <w:proofErr w:type="spellEnd"/>
      <w:r w:rsidRPr="00F8212B">
        <w:rPr>
          <w:sz w:val="20"/>
          <w:szCs w:val="20"/>
          <w:lang w:val="es-ES"/>
        </w:rPr>
        <w:t xml:space="preserve"> (1618-1619) y redactaron lo que llaman "Los Cinco Puntos Contra los </w:t>
      </w:r>
      <w:proofErr w:type="spellStart"/>
      <w:r w:rsidRPr="00F8212B">
        <w:rPr>
          <w:sz w:val="20"/>
          <w:szCs w:val="20"/>
          <w:lang w:val="es-ES"/>
        </w:rPr>
        <w:t>Arminianos</w:t>
      </w:r>
      <w:proofErr w:type="spellEnd"/>
      <w:r w:rsidRPr="00F8212B">
        <w:rPr>
          <w:sz w:val="20"/>
          <w:szCs w:val="20"/>
          <w:lang w:val="es-ES"/>
        </w:rPr>
        <w:t xml:space="preserve">", o "Los Cinco Puntos de Calvino".  Esto no significa que todos los calvinistas opinen que Romanos 7 describe la experiencia de Pablo como regenerado. Tampoco quiere decir que todos los </w:t>
      </w:r>
      <w:proofErr w:type="spellStart"/>
      <w:r w:rsidRPr="00F8212B">
        <w:rPr>
          <w:sz w:val="20"/>
          <w:szCs w:val="20"/>
          <w:lang w:val="es-ES"/>
        </w:rPr>
        <w:t>arminianos</w:t>
      </w:r>
      <w:proofErr w:type="spellEnd"/>
      <w:r w:rsidRPr="00F8212B">
        <w:rPr>
          <w:sz w:val="20"/>
          <w:szCs w:val="20"/>
          <w:lang w:val="es-ES"/>
        </w:rPr>
        <w:t xml:space="preserve"> concuerden con la interpretación contraria. (Los Cánones de </w:t>
      </w:r>
      <w:proofErr w:type="spellStart"/>
      <w:r w:rsidRPr="00F8212B">
        <w:rPr>
          <w:sz w:val="20"/>
          <w:szCs w:val="20"/>
          <w:lang w:val="es-ES"/>
        </w:rPr>
        <w:t>Dort</w:t>
      </w:r>
      <w:proofErr w:type="spellEnd"/>
      <w:r w:rsidRPr="00F8212B">
        <w:rPr>
          <w:sz w:val="20"/>
          <w:szCs w:val="20"/>
          <w:lang w:val="es-ES"/>
        </w:rPr>
        <w:t xml:space="preserve">, Asociación Cultural de Estudios de la Literatura Reformada, Barcelona, España, 1971; y  Carl </w:t>
      </w:r>
      <w:proofErr w:type="spellStart"/>
      <w:r w:rsidRPr="00F8212B">
        <w:rPr>
          <w:sz w:val="20"/>
          <w:szCs w:val="20"/>
          <w:lang w:val="es-ES"/>
        </w:rPr>
        <w:t>Bangs</w:t>
      </w:r>
      <w:proofErr w:type="spellEnd"/>
      <w:r w:rsidRPr="00F8212B">
        <w:rPr>
          <w:sz w:val="20"/>
          <w:szCs w:val="20"/>
          <w:lang w:val="es-ES"/>
        </w:rPr>
        <w:t xml:space="preserve">, </w:t>
      </w:r>
      <w:proofErr w:type="spellStart"/>
      <w:r w:rsidRPr="00F8212B">
        <w:rPr>
          <w:sz w:val="20"/>
          <w:szCs w:val="20"/>
          <w:lang w:val="es-ES"/>
        </w:rPr>
        <w:t>Arminius</w:t>
      </w:r>
      <w:proofErr w:type="spellEnd"/>
      <w:r w:rsidRPr="00F8212B">
        <w:rPr>
          <w:sz w:val="20"/>
          <w:szCs w:val="20"/>
          <w:lang w:val="es-ES"/>
        </w:rPr>
        <w:t xml:space="preserve">, A </w:t>
      </w:r>
      <w:proofErr w:type="spellStart"/>
      <w:r w:rsidRPr="00F8212B">
        <w:rPr>
          <w:sz w:val="20"/>
          <w:szCs w:val="20"/>
          <w:lang w:val="es-ES"/>
        </w:rPr>
        <w:t>Study</w:t>
      </w:r>
      <w:proofErr w:type="spellEnd"/>
      <w:r w:rsidRPr="00F8212B">
        <w:rPr>
          <w:sz w:val="20"/>
          <w:szCs w:val="20"/>
          <w:lang w:val="es-ES"/>
        </w:rPr>
        <w:t xml:space="preserve"> in </w:t>
      </w:r>
      <w:proofErr w:type="spellStart"/>
      <w:r w:rsidRPr="00F8212B">
        <w:rPr>
          <w:sz w:val="20"/>
          <w:szCs w:val="20"/>
          <w:lang w:val="es-ES"/>
        </w:rPr>
        <w:t>the</w:t>
      </w:r>
      <w:proofErr w:type="spellEnd"/>
      <w:r w:rsidRPr="00F8212B">
        <w:rPr>
          <w:sz w:val="20"/>
          <w:szCs w:val="20"/>
          <w:lang w:val="es-ES"/>
        </w:rPr>
        <w:t xml:space="preserve"> Dutch </w:t>
      </w:r>
      <w:proofErr w:type="spellStart"/>
      <w:r w:rsidRPr="00F8212B">
        <w:rPr>
          <w:sz w:val="20"/>
          <w:szCs w:val="20"/>
          <w:lang w:val="es-ES"/>
        </w:rPr>
        <w:t>Reformation</w:t>
      </w:r>
      <w:proofErr w:type="spellEnd"/>
      <w:r w:rsidRPr="00F8212B">
        <w:rPr>
          <w:sz w:val="20"/>
          <w:szCs w:val="20"/>
          <w:lang w:val="es-ES"/>
        </w:rPr>
        <w:t xml:space="preserve">, </w:t>
      </w:r>
      <w:proofErr w:type="spellStart"/>
      <w:r w:rsidRPr="00F8212B">
        <w:rPr>
          <w:sz w:val="20"/>
          <w:szCs w:val="20"/>
          <w:lang w:val="es-ES"/>
        </w:rPr>
        <w:t>Abingdon</w:t>
      </w:r>
      <w:proofErr w:type="spellEnd"/>
      <w:r w:rsidRPr="00F8212B">
        <w:rPr>
          <w:sz w:val="20"/>
          <w:szCs w:val="20"/>
          <w:lang w:val="es-ES"/>
        </w:rPr>
        <w:t xml:space="preserve"> </w:t>
      </w:r>
      <w:proofErr w:type="spellStart"/>
      <w:r w:rsidRPr="00F8212B">
        <w:rPr>
          <w:sz w:val="20"/>
          <w:szCs w:val="20"/>
          <w:lang w:val="es-ES"/>
        </w:rPr>
        <w:t>Press</w:t>
      </w:r>
      <w:proofErr w:type="spellEnd"/>
      <w:r w:rsidRPr="00F8212B">
        <w:rPr>
          <w:sz w:val="20"/>
          <w:szCs w:val="20"/>
          <w:lang w:val="es-ES"/>
        </w:rPr>
        <w:t>, Nashville, Tennessee, EE.UU., 1971.)</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lastRenderedPageBreak/>
        <w:t xml:space="preserve">Piense en esto: ¿Es posible que Pablo esté describiendo su propia experiencia de un proceso de arrepentimiento como creyente, pero que lo mismo se puede aplicar a la primera experiencia de arrepentimiento en la conversión?  Es decir, posiblemente Pablo explique aquí cómo se siente en el momento que empieza el cambio, sea por primera vez o en cualquier momento de arrepentimiento. En ese instante, se percata del poder del pecado dentro de sí mismo, observando que no lo puede superar sin la ayuda del Señor. En el momento de arrepentirse, hay dos fuerzas en conflicto: Por un lado, uno quiere hacer el bien, pero por el otro, sabe que no puede. El Espíritu Santo coloca en el corazón el deseo de cumplir la ley, pero uno se siente esclavizado al pecado, porque no tiene la fuerza propia para superarlo. En resumen, el capítulo describe el arrepentimiento, sea por primera vez o repetidas veces en la vida del cristiano. </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Citas</w:t>
      </w:r>
      <w:r>
        <w:rPr>
          <w:sz w:val="20"/>
          <w:szCs w:val="20"/>
          <w:lang w:val="es-ES"/>
        </w:rPr>
        <w:t>:</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Juan Calvino, en su comentario sobre Romanos 7.17, dijo:</w:t>
      </w:r>
    </w:p>
    <w:p w:rsidR="004D3CB9" w:rsidRPr="00F8212B" w:rsidRDefault="004D3CB9" w:rsidP="004D3CB9">
      <w:pPr>
        <w:rPr>
          <w:sz w:val="20"/>
          <w:szCs w:val="20"/>
          <w:lang w:val="es-ES"/>
        </w:rPr>
      </w:pPr>
    </w:p>
    <w:p w:rsidR="004D3CB9" w:rsidRPr="00F8212B" w:rsidRDefault="004D3CB9" w:rsidP="004D3CB9">
      <w:pPr>
        <w:rPr>
          <w:sz w:val="20"/>
          <w:szCs w:val="20"/>
        </w:rPr>
      </w:pPr>
      <w:r w:rsidRPr="00F8212B">
        <w:rPr>
          <w:sz w:val="20"/>
          <w:szCs w:val="20"/>
          <w:lang w:val="es-ES"/>
        </w:rPr>
        <w:t xml:space="preserve">"Este pasaje también muestra claramente que Pablo habla aquí de nadie menos que los santos, quienes ya han nacido de nuevo; porque mientras un hombre permanece como es, sea lo que sea, es justamente considerado corrupto. Sin embargo, el apóstol aquí niega que sea totalmente poseído por el pecado, no; él se declara a sí mismo exento de su esclavitud, como si hubiese dicho que el pecado solamente habita en alguna parte de su alma, mientras busca y anhela la justicia de Dios con un sentimiento sincero de corazón, probando que tiene la ley de Dios grabada en su interior." </w:t>
      </w:r>
      <w:proofErr w:type="gramStart"/>
      <w:r w:rsidRPr="00F8212B">
        <w:rPr>
          <w:sz w:val="20"/>
          <w:szCs w:val="20"/>
        </w:rPr>
        <w:t>(Calvin’s Commentaries, Romans-Galatians, Associated Publishers and Authors, Wilmington, Delaware, EE.UU.</w:t>
      </w:r>
      <w:proofErr w:type="gramEnd"/>
      <w:r w:rsidRPr="00F8212B">
        <w:rPr>
          <w:sz w:val="20"/>
          <w:szCs w:val="20"/>
        </w:rPr>
        <w:t xml:space="preserve"> </w:t>
      </w:r>
      <w:proofErr w:type="spellStart"/>
      <w:proofErr w:type="gramStart"/>
      <w:r w:rsidRPr="00F8212B">
        <w:rPr>
          <w:sz w:val="20"/>
          <w:szCs w:val="20"/>
        </w:rPr>
        <w:t>Traducido</w:t>
      </w:r>
      <w:proofErr w:type="spellEnd"/>
      <w:r w:rsidRPr="00F8212B">
        <w:rPr>
          <w:sz w:val="20"/>
          <w:szCs w:val="20"/>
        </w:rPr>
        <w:t xml:space="preserve"> del </w:t>
      </w:r>
      <w:proofErr w:type="spellStart"/>
      <w:r w:rsidRPr="00F8212B">
        <w:rPr>
          <w:sz w:val="20"/>
          <w:szCs w:val="20"/>
        </w:rPr>
        <w:t>inglés</w:t>
      </w:r>
      <w:proofErr w:type="spellEnd"/>
      <w:r w:rsidRPr="00F8212B">
        <w:rPr>
          <w:sz w:val="20"/>
          <w:szCs w:val="20"/>
        </w:rPr>
        <w:t>.)</w:t>
      </w:r>
      <w:proofErr w:type="gramEnd"/>
    </w:p>
    <w:p w:rsidR="004D3CB9" w:rsidRPr="00F8212B" w:rsidRDefault="004D3CB9" w:rsidP="004D3CB9">
      <w:pPr>
        <w:rPr>
          <w:sz w:val="20"/>
          <w:szCs w:val="20"/>
        </w:rPr>
      </w:pPr>
    </w:p>
    <w:p w:rsidR="004D3CB9" w:rsidRPr="00F8212B" w:rsidRDefault="004D3CB9" w:rsidP="004D3CB9">
      <w:pPr>
        <w:rPr>
          <w:sz w:val="20"/>
          <w:szCs w:val="20"/>
          <w:lang w:val="es-ES"/>
        </w:rPr>
      </w:pPr>
      <w:r w:rsidRPr="00F8212B">
        <w:rPr>
          <w:sz w:val="20"/>
          <w:szCs w:val="20"/>
          <w:lang w:val="es-ES"/>
        </w:rPr>
        <w:t xml:space="preserve">Luis </w:t>
      </w:r>
      <w:proofErr w:type="spellStart"/>
      <w:r w:rsidRPr="00F8212B">
        <w:rPr>
          <w:sz w:val="20"/>
          <w:szCs w:val="20"/>
          <w:lang w:val="es-ES"/>
        </w:rPr>
        <w:t>Berkhof</w:t>
      </w:r>
      <w:proofErr w:type="spellEnd"/>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"Según la Escritura hay una lucha constante entre la carne y el Espíritu en la vida de los hijos de Dios y aun el mejor de ellos está todavía luchando por la perfección. Pablo da una descripción muy impresionante de esta lucha en Romanos 7.7-26, un pasaje que ciertamente se refiere a él en su estado regenerado." (Teología Sistemática, T.E.L.L., Michigan, p. 647.)</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Les Thompson analiza distintas interpretaciones:</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"1. Este pasaje explica la lucha de una persona antes de aceptar a Cristo como su Salvador. Imposible. Contestamos que tal explicación es imposible ya que, aparte de la gracia de Dios obrando en el corazón, la persona sin Cristo está en sus pecados, se deleita en el pecado y se entrega al pecado. Este no le preocupa ni le aflige en ninguna manera.</w:t>
      </w:r>
    </w:p>
    <w:p w:rsidR="004D3CB9" w:rsidRPr="00F8212B" w:rsidRDefault="004D3CB9" w:rsidP="004D3CB9">
      <w:pPr>
        <w:rPr>
          <w:sz w:val="20"/>
          <w:szCs w:val="20"/>
          <w:lang w:val="es-ES"/>
        </w:rPr>
      </w:pPr>
      <w:r w:rsidRPr="00F8212B">
        <w:rPr>
          <w:sz w:val="20"/>
          <w:szCs w:val="20"/>
          <w:lang w:val="es-ES"/>
        </w:rPr>
        <w:t>"2. Este pasaje explica un período de carnalidad en la vida del apóstol. Improbable. No hay indicio bíblico ni secular para respaldar tal creencia.</w:t>
      </w:r>
    </w:p>
    <w:p w:rsidR="004D3CB9" w:rsidRPr="00F8212B" w:rsidRDefault="004D3CB9" w:rsidP="004D3CB9">
      <w:pPr>
        <w:rPr>
          <w:sz w:val="20"/>
          <w:szCs w:val="20"/>
          <w:lang w:val="es-ES"/>
        </w:rPr>
      </w:pPr>
      <w:r w:rsidRPr="00F8212B">
        <w:rPr>
          <w:sz w:val="20"/>
          <w:szCs w:val="20"/>
          <w:lang w:val="es-ES"/>
        </w:rPr>
        <w:t xml:space="preserve">"3. En este pasaje el apóstol presenta un caso hipotético. Incoherente. Pablo en todo el libro habla en primera persona, y se usa a sí mismo como ejemplo. Sería incongruente en este capítulo introducir de repente un elemento simbólico.  </w:t>
      </w:r>
    </w:p>
    <w:p w:rsidR="004D3CB9" w:rsidRPr="00F8212B" w:rsidRDefault="004D3CB9" w:rsidP="004D3CB9">
      <w:pPr>
        <w:rPr>
          <w:sz w:val="20"/>
          <w:szCs w:val="20"/>
          <w:lang w:val="es-ES"/>
        </w:rPr>
      </w:pPr>
      <w:r w:rsidRPr="00F8212B">
        <w:rPr>
          <w:sz w:val="20"/>
          <w:szCs w:val="20"/>
          <w:lang w:val="es-ES"/>
        </w:rPr>
        <w:t xml:space="preserve">"4. Este pasaje explica una simple realidad en todo creyente. Coherente. Esta es la postura que la gran mayoría de los expositores asumen al comentar estos textos, y es coherente con la experiencia de cada creyente si analiza su corazón con honestidad." (La persona que soy, </w:t>
      </w:r>
      <w:proofErr w:type="spellStart"/>
      <w:r w:rsidRPr="00F8212B">
        <w:rPr>
          <w:sz w:val="20"/>
          <w:szCs w:val="20"/>
          <w:lang w:val="es-ES"/>
        </w:rPr>
        <w:t>Logoi-Unilit</w:t>
      </w:r>
      <w:proofErr w:type="spellEnd"/>
      <w:r w:rsidRPr="00F8212B">
        <w:rPr>
          <w:sz w:val="20"/>
          <w:szCs w:val="20"/>
          <w:lang w:val="es-ES"/>
        </w:rPr>
        <w:t>, Miami, EE.UU., 1991, p. 97.)</w:t>
      </w:r>
    </w:p>
    <w:p w:rsidR="004D3CB9" w:rsidRPr="00F8212B" w:rsidRDefault="004D3CB9" w:rsidP="004D3CB9">
      <w:pPr>
        <w:rPr>
          <w:sz w:val="20"/>
          <w:szCs w:val="20"/>
          <w:lang w:val="es-ES"/>
        </w:rPr>
      </w:pPr>
    </w:p>
    <w:p w:rsidR="004D3CB9" w:rsidRPr="004D3CB9" w:rsidRDefault="004D3CB9" w:rsidP="004D3CB9">
      <w:pPr>
        <w:rPr>
          <w:b/>
          <w:sz w:val="20"/>
          <w:szCs w:val="20"/>
          <w:lang w:val="es-ES"/>
        </w:rPr>
      </w:pPr>
    </w:p>
    <w:p w:rsidR="004D3CB9" w:rsidRDefault="004D3CB9">
      <w:pPr>
        <w:spacing w:after="200"/>
        <w:rPr>
          <w:b/>
          <w:sz w:val="20"/>
          <w:szCs w:val="20"/>
          <w:lang w:val="es-ES"/>
        </w:rPr>
      </w:pPr>
      <w:r>
        <w:rPr>
          <w:b/>
          <w:sz w:val="20"/>
          <w:szCs w:val="20"/>
          <w:lang w:val="es-ES"/>
        </w:rPr>
        <w:br w:type="page"/>
      </w:r>
    </w:p>
    <w:p w:rsidR="004D3CB9" w:rsidRPr="004D3CB9" w:rsidRDefault="004D3CB9" w:rsidP="004D3CB9">
      <w:pPr>
        <w:rPr>
          <w:b/>
          <w:sz w:val="20"/>
          <w:szCs w:val="20"/>
          <w:lang w:val="es-ES"/>
        </w:rPr>
      </w:pPr>
      <w:r w:rsidRPr="004D3CB9">
        <w:rPr>
          <w:b/>
          <w:sz w:val="20"/>
          <w:szCs w:val="20"/>
          <w:lang w:val="es-ES"/>
        </w:rPr>
        <w:lastRenderedPageBreak/>
        <w:t>Capítulo 6</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1. ¿Cuál es la opinión del autor acerca de los aborígenes que no han sido evangelizados? ¿Podrán ser salvos? ¿Cómo?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2. ¿Qué es el "llamamiento eficaz"?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3. ¿Qué es la regeneración?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4. ¿En qué sentido incluye la fe salvadora un aspecto que es un proceso?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5. ¿Qué es la "fe" en el sentido "subjetivo"?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6. ¿Qué es la "fe" en el sentido "objetivo? </w:t>
      </w:r>
    </w:p>
    <w:p w:rsidR="004D3CB9" w:rsidRPr="00F8212B" w:rsidRDefault="004D3CB9" w:rsidP="004D3CB9">
      <w:pPr>
        <w:rPr>
          <w:sz w:val="20"/>
          <w:szCs w:val="20"/>
          <w:lang w:val="es-ES"/>
        </w:rPr>
      </w:pPr>
    </w:p>
    <w:p w:rsidR="004D3CB9" w:rsidRDefault="004D3CB9" w:rsidP="004D3CB9">
      <w:pPr>
        <w:rPr>
          <w:b/>
          <w:sz w:val="20"/>
          <w:szCs w:val="20"/>
          <w:lang w:val="es-ES"/>
        </w:rPr>
      </w:pPr>
    </w:p>
    <w:p w:rsidR="004D3CB9" w:rsidRPr="004D3CB9" w:rsidRDefault="004D3CB9" w:rsidP="004D3CB9">
      <w:pPr>
        <w:rPr>
          <w:b/>
          <w:sz w:val="20"/>
          <w:szCs w:val="20"/>
          <w:lang w:val="es-ES"/>
        </w:rPr>
      </w:pPr>
      <w:r w:rsidRPr="004D3CB9">
        <w:rPr>
          <w:b/>
          <w:sz w:val="20"/>
          <w:szCs w:val="20"/>
          <w:lang w:val="es-ES"/>
        </w:rPr>
        <w:t>Capítulo 7</w:t>
      </w:r>
    </w:p>
    <w:p w:rsidR="004D3CB9" w:rsidRPr="00F8212B"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1. Explique el significado de la justificación.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2. Según el autor, ¿cómo se armoniza la enseñanza de Santiago, acerca de las obras y la salvación, con la de Pablo, respecto a la salvación por fe?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3. De acuerdo con el autor, ¿en qué sentido era "irreprensible" Pablo?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4. Además del perdón de nuestros pecados, ¿cuál es el lado positivo de la justificación?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5. ¿Cuál es la diferencia entre la justificación y la santificación? </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6. Según el autor, ¿una persona puede ser santificada si no ha sido regenerada?</w:t>
      </w:r>
    </w:p>
    <w:p w:rsidR="004D3CB9" w:rsidRDefault="004D3CB9" w:rsidP="004D3CB9">
      <w:pPr>
        <w:rPr>
          <w:sz w:val="20"/>
          <w:szCs w:val="20"/>
          <w:lang w:val="es-ES"/>
        </w:rPr>
      </w:pPr>
    </w:p>
    <w:p w:rsidR="004D3CB9" w:rsidRPr="00F8212B" w:rsidRDefault="004D3CB9" w:rsidP="004D3CB9">
      <w:pPr>
        <w:rPr>
          <w:sz w:val="20"/>
          <w:szCs w:val="20"/>
          <w:lang w:val="es-ES"/>
        </w:rPr>
      </w:pPr>
      <w:r w:rsidRPr="00F8212B">
        <w:rPr>
          <w:sz w:val="20"/>
          <w:szCs w:val="20"/>
          <w:lang w:val="es-ES"/>
        </w:rPr>
        <w:t xml:space="preserve">7. Según el autor, ¿qué significa el bautismo por el Espíritu Santo? </w:t>
      </w:r>
    </w:p>
    <w:p w:rsidR="004D3CB9" w:rsidRDefault="004D3CB9" w:rsidP="004D3CB9">
      <w:pPr>
        <w:rPr>
          <w:sz w:val="20"/>
          <w:szCs w:val="20"/>
          <w:lang w:val="es-ES"/>
        </w:rPr>
      </w:pPr>
    </w:p>
    <w:p w:rsidR="004D3CB9" w:rsidRPr="003C4225" w:rsidRDefault="004D3CB9" w:rsidP="004D3CB9">
      <w:pPr>
        <w:rPr>
          <w:lang w:val="es-ES"/>
        </w:rPr>
      </w:pPr>
    </w:p>
    <w:p w:rsidR="004D3CB9" w:rsidRPr="004D3CB9" w:rsidRDefault="004D3CB9" w:rsidP="00D34CA0">
      <w:pPr>
        <w:rPr>
          <w:lang w:val="es-ES"/>
        </w:rPr>
      </w:pPr>
    </w:p>
    <w:sectPr w:rsidR="004D3CB9" w:rsidRPr="004D3CB9"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0AC" w:rsidRDefault="00BF10AC" w:rsidP="00A4605F">
      <w:pPr>
        <w:spacing w:line="240" w:lineRule="auto"/>
      </w:pPr>
      <w:r>
        <w:separator/>
      </w:r>
    </w:p>
  </w:endnote>
  <w:endnote w:type="continuationSeparator" w:id="0">
    <w:p w:rsidR="00BF10AC" w:rsidRDefault="00BF10AC"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812BC1" w:rsidP="00A4605F">
        <w:pPr>
          <w:pStyle w:val="Footer"/>
          <w:jc w:val="center"/>
        </w:pPr>
        <w:fldSimple w:instr=" PAGE   \* MERGEFORMAT ">
          <w:r w:rsidR="00B54344">
            <w:rPr>
              <w:noProof/>
            </w:rPr>
            <w:t>2</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0AC" w:rsidRDefault="00BF10AC" w:rsidP="00A4605F">
      <w:pPr>
        <w:spacing w:line="240" w:lineRule="auto"/>
      </w:pPr>
      <w:r>
        <w:separator/>
      </w:r>
    </w:p>
  </w:footnote>
  <w:footnote w:type="continuationSeparator" w:id="0">
    <w:p w:rsidR="00BF10AC" w:rsidRDefault="00BF10AC"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82C26"/>
    <w:rsid w:val="00186986"/>
    <w:rsid w:val="001D53E3"/>
    <w:rsid w:val="001E31AC"/>
    <w:rsid w:val="002735E3"/>
    <w:rsid w:val="002A3264"/>
    <w:rsid w:val="002B134D"/>
    <w:rsid w:val="00330F12"/>
    <w:rsid w:val="00333404"/>
    <w:rsid w:val="00342821"/>
    <w:rsid w:val="00343BAD"/>
    <w:rsid w:val="00347273"/>
    <w:rsid w:val="003536DB"/>
    <w:rsid w:val="003B4043"/>
    <w:rsid w:val="003B7A31"/>
    <w:rsid w:val="00402843"/>
    <w:rsid w:val="0043787E"/>
    <w:rsid w:val="00451090"/>
    <w:rsid w:val="004571C9"/>
    <w:rsid w:val="00475EDA"/>
    <w:rsid w:val="004978A5"/>
    <w:rsid w:val="004D3CB9"/>
    <w:rsid w:val="004D71BF"/>
    <w:rsid w:val="004D7858"/>
    <w:rsid w:val="00513763"/>
    <w:rsid w:val="0052309A"/>
    <w:rsid w:val="005845EB"/>
    <w:rsid w:val="005D0F13"/>
    <w:rsid w:val="005F03F0"/>
    <w:rsid w:val="00624C1C"/>
    <w:rsid w:val="0064471B"/>
    <w:rsid w:val="00654270"/>
    <w:rsid w:val="00654794"/>
    <w:rsid w:val="00654D3C"/>
    <w:rsid w:val="00665CC0"/>
    <w:rsid w:val="00682B32"/>
    <w:rsid w:val="006A4E3D"/>
    <w:rsid w:val="006B47EC"/>
    <w:rsid w:val="006E76A4"/>
    <w:rsid w:val="00701313"/>
    <w:rsid w:val="00704109"/>
    <w:rsid w:val="00770D1F"/>
    <w:rsid w:val="00777254"/>
    <w:rsid w:val="007B33DD"/>
    <w:rsid w:val="007B4139"/>
    <w:rsid w:val="007C5370"/>
    <w:rsid w:val="007E0B2E"/>
    <w:rsid w:val="007F03A3"/>
    <w:rsid w:val="00812BC1"/>
    <w:rsid w:val="008543D1"/>
    <w:rsid w:val="0090383E"/>
    <w:rsid w:val="0092079F"/>
    <w:rsid w:val="00921650"/>
    <w:rsid w:val="009438E0"/>
    <w:rsid w:val="00946029"/>
    <w:rsid w:val="00946799"/>
    <w:rsid w:val="00952813"/>
    <w:rsid w:val="00952AFD"/>
    <w:rsid w:val="009D614E"/>
    <w:rsid w:val="00A4570F"/>
    <w:rsid w:val="00A4605F"/>
    <w:rsid w:val="00AF6113"/>
    <w:rsid w:val="00B06D2E"/>
    <w:rsid w:val="00B15961"/>
    <w:rsid w:val="00B41325"/>
    <w:rsid w:val="00B54344"/>
    <w:rsid w:val="00B54500"/>
    <w:rsid w:val="00B6411A"/>
    <w:rsid w:val="00BA1BF3"/>
    <w:rsid w:val="00BA2288"/>
    <w:rsid w:val="00BA594E"/>
    <w:rsid w:val="00BC22E8"/>
    <w:rsid w:val="00BC7F3F"/>
    <w:rsid w:val="00BD3585"/>
    <w:rsid w:val="00BF10AC"/>
    <w:rsid w:val="00C04F5E"/>
    <w:rsid w:val="00C17419"/>
    <w:rsid w:val="00C36407"/>
    <w:rsid w:val="00C54DF0"/>
    <w:rsid w:val="00CA5394"/>
    <w:rsid w:val="00D3114B"/>
    <w:rsid w:val="00D34CA0"/>
    <w:rsid w:val="00D539CC"/>
    <w:rsid w:val="00D63C0B"/>
    <w:rsid w:val="00D67E23"/>
    <w:rsid w:val="00D73A67"/>
    <w:rsid w:val="00E21DD6"/>
    <w:rsid w:val="00E40EA3"/>
    <w:rsid w:val="00E87D18"/>
    <w:rsid w:val="00EB034D"/>
    <w:rsid w:val="00EB0635"/>
    <w:rsid w:val="00EB456F"/>
    <w:rsid w:val="00EE0B06"/>
    <w:rsid w:val="00F47B1B"/>
    <w:rsid w:val="00F67BD5"/>
    <w:rsid w:val="00F7261A"/>
    <w:rsid w:val="00F73FDA"/>
    <w:rsid w:val="00F74446"/>
    <w:rsid w:val="00F74673"/>
    <w:rsid w:val="00F83615"/>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BA4E-6824-4F05-905E-D56339CA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5</cp:revision>
  <cp:lastPrinted>2018-08-14T21:17:00Z</cp:lastPrinted>
  <dcterms:created xsi:type="dcterms:W3CDTF">2018-08-15T21:42:00Z</dcterms:created>
  <dcterms:modified xsi:type="dcterms:W3CDTF">2019-06-20T21:42:00Z</dcterms:modified>
</cp:coreProperties>
</file>