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6918E8" w:rsidRDefault="006918E8" w:rsidP="001106BF">
      <w:pPr>
        <w:jc w:val="center"/>
        <w:rPr>
          <w:b/>
          <w:color w:val="365F91" w:themeColor="accent1" w:themeShade="BF"/>
          <w:sz w:val="96"/>
          <w:szCs w:val="96"/>
          <w:lang w:val="es-ES"/>
        </w:rPr>
      </w:pPr>
    </w:p>
    <w:p w:rsidR="001106BF" w:rsidRPr="001106BF" w:rsidRDefault="00AA738A" w:rsidP="001106BF">
      <w:pPr>
        <w:jc w:val="center"/>
        <w:rPr>
          <w:b/>
          <w:color w:val="365F91" w:themeColor="accent1" w:themeShade="BF"/>
          <w:sz w:val="96"/>
          <w:szCs w:val="96"/>
          <w:lang w:val="es-ES"/>
        </w:rPr>
      </w:pPr>
      <w:r w:rsidRPr="00AA738A">
        <w:rPr>
          <w:noProof/>
          <w:color w:val="365F91" w:themeColor="accent1" w:themeShade="BF"/>
          <w:sz w:val="96"/>
          <w:szCs w:val="96"/>
          <w:lang w:val="es-ES" w:bidi="en-US"/>
        </w:rPr>
        <w:pict>
          <v:group id="Group 39" o:spid="_x0000_s1047" style="position:absolute;left:0;text-align:left;margin-left:7384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6918E8">
        <w:rPr>
          <w:b/>
          <w:color w:val="365F91" w:themeColor="accent1" w:themeShade="BF"/>
          <w:sz w:val="96"/>
          <w:szCs w:val="96"/>
          <w:lang w:val="es-ES"/>
        </w:rPr>
        <w:t>Padre Abraham</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AA738A" w:rsidP="001106BF">
      <w:pPr>
        <w:pStyle w:val="Header1"/>
        <w:jc w:val="center"/>
        <w:rPr>
          <w:b/>
          <w:noProof/>
          <w:sz w:val="110"/>
          <w:szCs w:val="110"/>
          <w:lang w:val="es-ES"/>
        </w:rPr>
      </w:pPr>
      <w:r w:rsidRPr="00AA738A">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7376D4"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Pr>
          <w:b/>
          <w:bCs/>
          <w:noProof/>
        </w:rPr>
        <w:t xml:space="preserve">   </w:t>
      </w:r>
      <w:r w:rsidR="00554150">
        <w:rPr>
          <w:b/>
          <w:bCs/>
          <w:noProof/>
        </w:rPr>
        <w:drawing>
          <wp:inline distT="0" distB="0" distL="0" distR="0">
            <wp:extent cx="2730500" cy="209441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730500" cy="2094418"/>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687A17" w:rsidRPr="00687A17" w:rsidRDefault="00687A17" w:rsidP="00687A17">
      <w:pPr>
        <w:tabs>
          <w:tab w:val="clear" w:pos="432"/>
        </w:tabs>
        <w:rPr>
          <w:color w:val="281F18"/>
          <w:szCs w:val="20"/>
          <w:lang w:val="es-ES"/>
        </w:rPr>
      </w:pPr>
      <w:r w:rsidRPr="00687A17">
        <w:rPr>
          <w:color w:val="281F18"/>
          <w:szCs w:val="20"/>
          <w:lang w:val="es-ES"/>
        </w:rPr>
        <w:t xml:space="preserve">¿Por qué decidió Moisés relatar la historia de Abraham de la manera en que lo hizo? ¿Qué significa para nosotros hoy? Este curso provee un análisis de Génesis 11:10-25:18, la vida de Abraham, desde una perspectiva cristiana. Analiza la estructura literaria, el significado para la audiencia original, y las aplicaciones para nuestros días. El curso se basa en la serie en DVD de </w:t>
      </w:r>
      <w:r w:rsidRPr="00687A17">
        <w:rPr>
          <w:i/>
          <w:color w:val="281F18"/>
          <w:szCs w:val="20"/>
          <w:lang w:val="es-ES"/>
        </w:rPr>
        <w:t>Third Millennium</w:t>
      </w:r>
      <w:r w:rsidRPr="00687A17">
        <w:rPr>
          <w:color w:val="281F18"/>
          <w:szCs w:val="20"/>
          <w:lang w:val="es-ES"/>
        </w:rPr>
        <w:t xml:space="preserve"> por Dr. Richard L. Pratt, Jr. </w:t>
      </w:r>
    </w:p>
    <w:p w:rsidR="000A61E9" w:rsidRDefault="00CA3203" w:rsidP="009269FF">
      <w:pPr>
        <w:pStyle w:val="Heading2"/>
        <w:rPr>
          <w:lang w:val="fr-FR"/>
        </w:rPr>
      </w:pPr>
      <w:bookmarkStart w:id="4" w:name="_Toc342297169"/>
      <w:bookmarkStart w:id="5" w:name="_Toc348024003"/>
      <w:bookmarkStart w:id="6" w:name="_Toc348190718"/>
      <w:r>
        <w:rPr>
          <w:lang w:val="fr-FR"/>
        </w:rPr>
        <w:t>El p</w:t>
      </w:r>
      <w:r w:rsidR="000A61E9">
        <w:rPr>
          <w:lang w:val="fr-FR"/>
        </w:rPr>
        <w:t>rofesor</w:t>
      </w:r>
      <w:bookmarkEnd w:id="4"/>
      <w:bookmarkEnd w:id="5"/>
      <w:bookmarkEnd w:id="6"/>
    </w:p>
    <w:p w:rsidR="0073119B" w:rsidRPr="0073119B" w:rsidRDefault="0073119B" w:rsidP="0073119B">
      <w:pPr>
        <w:rPr>
          <w:color w:val="281F18"/>
          <w:szCs w:val="20"/>
          <w:lang w:val="es-ES"/>
        </w:rPr>
      </w:pPr>
      <w:r w:rsidRPr="0073119B">
        <w:rPr>
          <w:color w:val="281F18"/>
          <w:szCs w:val="20"/>
          <w:lang w:val="fr-FR"/>
        </w:rPr>
        <w:t xml:space="preserve">Dr. Richard L. Pratt, Jr. </w:t>
      </w:r>
      <w:r w:rsidRPr="0073119B">
        <w:rPr>
          <w:color w:val="281F18"/>
          <w:szCs w:val="20"/>
          <w:lang w:val="es-ES"/>
        </w:rPr>
        <w:t xml:space="preserve">es el presidente y fundador de </w:t>
      </w:r>
      <w:r w:rsidRPr="0073119B">
        <w:rPr>
          <w:i/>
          <w:iCs/>
          <w:color w:val="281F18"/>
          <w:szCs w:val="20"/>
          <w:lang w:val="es-ES"/>
        </w:rPr>
        <w:t>Third Millennium Ministries</w:t>
      </w:r>
      <w:r w:rsidRPr="0073119B">
        <w:rPr>
          <w:color w:val="281F18"/>
          <w:szCs w:val="20"/>
          <w:lang w:val="es-ES"/>
        </w:rPr>
        <w:t xml:space="preserve">. Recibió su M.Div. de </w:t>
      </w:r>
      <w:r w:rsidRPr="0073119B">
        <w:rPr>
          <w:i/>
          <w:iCs/>
          <w:color w:val="281F18"/>
          <w:szCs w:val="20"/>
          <w:lang w:val="es-ES"/>
        </w:rPr>
        <w:t>Union Theological Seminary</w:t>
      </w:r>
      <w:r w:rsidRPr="0073119B">
        <w:rPr>
          <w:color w:val="281F18"/>
          <w:szCs w:val="20"/>
          <w:lang w:val="es-ES"/>
        </w:rPr>
        <w:t xml:space="preserve"> y su Th.D. en Antiguo Testamento de </w:t>
      </w:r>
      <w:r w:rsidRPr="0073119B">
        <w:rPr>
          <w:i/>
          <w:iCs/>
          <w:color w:val="281F18"/>
          <w:szCs w:val="20"/>
          <w:lang w:val="es-ES"/>
        </w:rPr>
        <w:t>Harvard University</w:t>
      </w:r>
      <w:r w:rsidRPr="0073119B">
        <w:rPr>
          <w:color w:val="281F18"/>
          <w:szCs w:val="20"/>
          <w:lang w:val="es-ES"/>
        </w:rPr>
        <w:t xml:space="preserve">. Fue director del departamento de Antiguo Testamento en </w:t>
      </w:r>
      <w:r w:rsidRPr="0073119B">
        <w:rPr>
          <w:i/>
          <w:iCs/>
          <w:color w:val="281F18"/>
          <w:szCs w:val="20"/>
          <w:lang w:val="es-ES"/>
        </w:rPr>
        <w:t>Reformed Theological Seminary</w:t>
      </w:r>
      <w:r w:rsidRPr="0073119B">
        <w:rPr>
          <w:color w:val="281F18"/>
          <w:szCs w:val="20"/>
          <w:lang w:val="es-ES"/>
        </w:rPr>
        <w:t xml:space="preserve"> en Orlando, Florida. En 2006 hizo una transición desde su rol de profesor en RTS para dedicarse tiempo completo a </w:t>
      </w:r>
      <w:r w:rsidRPr="0073119B">
        <w:rPr>
          <w:i/>
          <w:iCs/>
          <w:color w:val="281F18"/>
          <w:szCs w:val="20"/>
          <w:lang w:val="es-ES"/>
        </w:rPr>
        <w:t>Third Millennium Ministries</w:t>
      </w:r>
      <w:r w:rsidRPr="0073119B">
        <w:rPr>
          <w:color w:val="281F18"/>
          <w:szCs w:val="20"/>
          <w:lang w:val="es-ES"/>
        </w:rPr>
        <w:t xml:space="preserve">. Entre sus libros publicados se encuentran: </w:t>
      </w:r>
      <w:r w:rsidRPr="0073119B">
        <w:rPr>
          <w:i/>
          <w:iCs/>
          <w:color w:val="281F18"/>
          <w:szCs w:val="20"/>
          <w:lang w:val="es-ES"/>
        </w:rPr>
        <w:t>Todo Pensamiento Cautivo, Ora con los Ojos Abiertos, Él nos Dio Historias, y Diseñados para Dignidad.</w:t>
      </w:r>
    </w:p>
    <w:p w:rsidR="000A61E9" w:rsidRPr="0012500C" w:rsidRDefault="00C27BBA" w:rsidP="009269FF">
      <w:pPr>
        <w:pStyle w:val="Heading2"/>
        <w:rPr>
          <w:lang w:val="es-ES"/>
        </w:rPr>
      </w:pPr>
      <w:bookmarkStart w:id="7" w:name="_Toc342297170"/>
      <w:bookmarkStart w:id="8" w:name="_Toc348024004"/>
      <w:bookmarkStart w:id="9" w:name="_Toc348190719"/>
      <w:r>
        <w:rPr>
          <w:lang w:val="es-ES"/>
        </w:rPr>
        <w:t>Metas y o</w:t>
      </w:r>
      <w:r w:rsidR="000A61E9" w:rsidRPr="0012500C">
        <w:rPr>
          <w:lang w:val="es-ES"/>
        </w:rPr>
        <w:t>bjetivos</w:t>
      </w:r>
      <w:bookmarkEnd w:id="7"/>
      <w:bookmarkEnd w:id="8"/>
      <w:bookmarkEnd w:id="9"/>
    </w:p>
    <w:p w:rsidR="00687A17" w:rsidRPr="00687A17" w:rsidRDefault="00687A17" w:rsidP="00687A17">
      <w:pPr>
        <w:pStyle w:val="NoSpacing"/>
        <w:rPr>
          <w:lang w:val="es-ES"/>
        </w:rPr>
      </w:pPr>
      <w:r w:rsidRPr="00687A17">
        <w:rPr>
          <w:lang w:val="es-ES"/>
        </w:rPr>
        <w:t>METAS</w:t>
      </w:r>
    </w:p>
    <w:p w:rsidR="00687A17" w:rsidRPr="00687A17" w:rsidRDefault="00687A17" w:rsidP="00687A17">
      <w:pPr>
        <w:pStyle w:val="NoSpacing"/>
        <w:rPr>
          <w:lang w:val="es-ES"/>
        </w:rPr>
      </w:pPr>
    </w:p>
    <w:p w:rsidR="00687A17" w:rsidRPr="00687A17" w:rsidRDefault="00687A17" w:rsidP="00687A17">
      <w:pPr>
        <w:pStyle w:val="NoSpacing"/>
        <w:rPr>
          <w:lang w:val="es-ES"/>
        </w:rPr>
      </w:pPr>
      <w:r w:rsidRPr="00687A17">
        <w:rPr>
          <w:lang w:val="es-ES"/>
        </w:rPr>
        <w:t>En este curso, nos gustaría lograr lo siguiente:</w:t>
      </w:r>
    </w:p>
    <w:p w:rsidR="00687A17" w:rsidRPr="00687A17" w:rsidRDefault="00687A17" w:rsidP="00687A17">
      <w:pPr>
        <w:pStyle w:val="NoSpacing"/>
        <w:rPr>
          <w:lang w:val="es-ES"/>
        </w:rPr>
      </w:pPr>
    </w:p>
    <w:p w:rsidR="00687A17" w:rsidRPr="00687A17" w:rsidRDefault="00687A17" w:rsidP="00687A17">
      <w:pPr>
        <w:pStyle w:val="NoSpacing"/>
        <w:rPr>
          <w:lang w:val="es-ES"/>
        </w:rPr>
      </w:pPr>
      <w:r w:rsidRPr="00687A17">
        <w:rPr>
          <w:lang w:val="es-ES"/>
        </w:rPr>
        <w:t>1. Esperamos qu</w:t>
      </w:r>
      <w:r>
        <w:rPr>
          <w:lang w:val="es-ES"/>
        </w:rPr>
        <w:t xml:space="preserve">e use todos los </w:t>
      </w:r>
      <w:r w:rsidRPr="00687A17">
        <w:rPr>
          <w:lang w:val="es-ES"/>
        </w:rPr>
        <w:t>elementos del curso para aprender información clave en lo que se refiere a la estructura literaria, significad</w:t>
      </w:r>
      <w:r>
        <w:rPr>
          <w:lang w:val="es-ES"/>
        </w:rPr>
        <w:t>o original, y aplicación para nuestro</w:t>
      </w:r>
      <w:r w:rsidRPr="00687A17">
        <w:rPr>
          <w:lang w:val="es-ES"/>
        </w:rPr>
        <w:t xml:space="preserve"> tiempo actual de Génesis 11:10-25:18.</w:t>
      </w:r>
    </w:p>
    <w:p w:rsidR="00687A17" w:rsidRPr="00687A17" w:rsidRDefault="00687A17" w:rsidP="00687A17">
      <w:pPr>
        <w:pStyle w:val="NoSpacing"/>
        <w:rPr>
          <w:lang w:val="es-ES"/>
        </w:rPr>
      </w:pPr>
    </w:p>
    <w:p w:rsidR="00687A17" w:rsidRPr="00687A17" w:rsidRDefault="00687A17" w:rsidP="00687A17">
      <w:pPr>
        <w:pStyle w:val="NoSpacing"/>
        <w:rPr>
          <w:lang w:val="es-ES"/>
        </w:rPr>
      </w:pPr>
      <w:r w:rsidRPr="00687A17">
        <w:rPr>
          <w:lang w:val="es-ES"/>
        </w:rPr>
        <w:t>2. Esperamos que, después de estudiar los pasajes de Génesis analizados en este curso, usted tenga mayor gozo y agradecimiento por la gracia de Dios en su vida.</w:t>
      </w:r>
    </w:p>
    <w:p w:rsidR="00687A17" w:rsidRPr="00687A17" w:rsidRDefault="00687A17" w:rsidP="00687A17">
      <w:pPr>
        <w:pStyle w:val="NoSpacing"/>
        <w:rPr>
          <w:lang w:val="es-ES"/>
        </w:rPr>
      </w:pPr>
    </w:p>
    <w:p w:rsidR="00687A17" w:rsidRPr="00687A17" w:rsidRDefault="00687A17" w:rsidP="00687A17">
      <w:pPr>
        <w:pStyle w:val="NoSpacing"/>
        <w:rPr>
          <w:lang w:val="es-ES"/>
        </w:rPr>
      </w:pPr>
      <w:r w:rsidRPr="00687A17">
        <w:rPr>
          <w:lang w:val="es-ES"/>
        </w:rPr>
        <w:t>3. Esperamos que haga cambios en su vida como una respuesta a las enseñanzas de Génesis 11:10-25:18, especialmente en vivir con mayor lealtad hacia Dios, en agradecimiento por Su gracia.</w:t>
      </w:r>
    </w:p>
    <w:p w:rsidR="00687A17" w:rsidRPr="00687A17" w:rsidRDefault="00687A17" w:rsidP="00687A17">
      <w:pPr>
        <w:pStyle w:val="NoSpacing"/>
        <w:rPr>
          <w:lang w:val="es-ES"/>
        </w:rPr>
      </w:pPr>
    </w:p>
    <w:p w:rsidR="00554150" w:rsidRDefault="00554150">
      <w:pPr>
        <w:tabs>
          <w:tab w:val="clear" w:pos="432"/>
        </w:tabs>
        <w:rPr>
          <w:lang w:val="es-ES"/>
        </w:rPr>
      </w:pPr>
      <w:r>
        <w:rPr>
          <w:lang w:val="es-ES"/>
        </w:rPr>
        <w:br w:type="page"/>
      </w:r>
    </w:p>
    <w:p w:rsidR="00687A17" w:rsidRPr="00687A17" w:rsidRDefault="00687A17" w:rsidP="00687A17">
      <w:pPr>
        <w:pStyle w:val="NoSpacing"/>
        <w:rPr>
          <w:lang w:val="es-ES"/>
        </w:rPr>
      </w:pPr>
      <w:r w:rsidRPr="00687A17">
        <w:rPr>
          <w:lang w:val="es-ES"/>
        </w:rPr>
        <w:lastRenderedPageBreak/>
        <w:t>OBJETIVOS</w:t>
      </w:r>
    </w:p>
    <w:p w:rsidR="00687A17" w:rsidRPr="00687A17" w:rsidRDefault="00687A17" w:rsidP="00687A17">
      <w:pPr>
        <w:pStyle w:val="NoSpacing"/>
        <w:rPr>
          <w:lang w:val="es-ES"/>
        </w:rPr>
      </w:pPr>
    </w:p>
    <w:p w:rsidR="00687A17" w:rsidRPr="00687A17" w:rsidRDefault="00687A17" w:rsidP="00687A17">
      <w:pPr>
        <w:pStyle w:val="NoSpacing"/>
        <w:rPr>
          <w:lang w:val="es-ES"/>
        </w:rPr>
      </w:pPr>
      <w:r w:rsidRPr="00687A17">
        <w:rPr>
          <w:lang w:val="es-ES"/>
        </w:rPr>
        <w:t>Cuando haya terminado lo siguiente, mostrará que las metas se han cumplido:</w:t>
      </w:r>
    </w:p>
    <w:p w:rsidR="00687A17" w:rsidRPr="00687A17" w:rsidRDefault="00687A17" w:rsidP="00687A17">
      <w:pPr>
        <w:pStyle w:val="NoSpacing"/>
        <w:rPr>
          <w:lang w:val="es-ES"/>
        </w:rPr>
      </w:pPr>
    </w:p>
    <w:p w:rsidR="00687A17" w:rsidRPr="00687A17" w:rsidRDefault="00687A17" w:rsidP="00687A17">
      <w:pPr>
        <w:pStyle w:val="NoSpacing"/>
        <w:rPr>
          <w:lang w:val="es-ES"/>
        </w:rPr>
      </w:pPr>
      <w:r w:rsidRPr="00687A17">
        <w:rPr>
          <w:lang w:val="es-ES"/>
        </w:rPr>
        <w:t>1</w:t>
      </w:r>
      <w:r>
        <w:rPr>
          <w:lang w:val="es-ES"/>
        </w:rPr>
        <w:t>. Obtener</w:t>
      </w:r>
      <w:r w:rsidRPr="00687A17">
        <w:rPr>
          <w:lang w:val="es-ES"/>
        </w:rPr>
        <w:t xml:space="preserve"> una calificación satisfactoria en las pruebas del curso, demostrando que usted puede identificar información clave en lo que se refiere a la estructura literaria, significado original, y aplicación actual de Génesis 11:10-25:18. Usted podrá identificar el propósito principal de Moisés para escribir este relato, explicar cómo Cristo cumplió las promesas de la semilla de Abraham, y demostrar cómo esas promesas se aplican a la iglesia de nuestros días.</w:t>
      </w:r>
    </w:p>
    <w:p w:rsidR="00687A17" w:rsidRDefault="00687A17" w:rsidP="00687A17">
      <w:pPr>
        <w:pStyle w:val="NoSpacing"/>
        <w:rPr>
          <w:lang w:val="es-ES"/>
        </w:rPr>
      </w:pPr>
    </w:p>
    <w:p w:rsidR="007376D4" w:rsidRPr="007376D4" w:rsidRDefault="00687A17" w:rsidP="00687A17">
      <w:pPr>
        <w:pStyle w:val="NoSpacing"/>
        <w:rPr>
          <w:lang w:val="es-ES"/>
        </w:rPr>
      </w:pPr>
      <w:r>
        <w:rPr>
          <w:lang w:val="es-ES"/>
        </w:rPr>
        <w:t>2. Completar</w:t>
      </w:r>
      <w:r w:rsidRPr="00687A17">
        <w:rPr>
          <w:lang w:val="es-ES"/>
        </w:rPr>
        <w:t xml:space="preserve"> las guías de estudio y las otras tareas del curso, expresando su actitud hacia Dios por Su gracia y su compromiso de vivir una vida de lealtad hacia Él.</w:t>
      </w:r>
      <w:r w:rsidR="007376D4" w:rsidRPr="007376D4">
        <w:rPr>
          <w:lang w:val="es-ES"/>
        </w:rPr>
        <w:t>En este curso, nos gustaría lograr lo siguiente:</w:t>
      </w:r>
    </w:p>
    <w:p w:rsidR="004C2756" w:rsidRPr="007376D4" w:rsidRDefault="004C2756" w:rsidP="00FE12F5">
      <w:pPr>
        <w:pStyle w:val="Heading2"/>
        <w:rPr>
          <w:lang w:val="es-ES"/>
        </w:rPr>
      </w:pPr>
      <w:bookmarkStart w:id="10" w:name="_Toc342297171"/>
      <w:bookmarkStart w:id="11" w:name="_Toc348097028"/>
      <w:bookmarkStart w:id="12"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5A68A2" w:rsidRPr="005A68A2" w:rsidRDefault="005A68A2" w:rsidP="005A68A2">
      <w:pPr>
        <w:rPr>
          <w:lang w:val="es-ES"/>
        </w:rPr>
      </w:pPr>
      <w:bookmarkStart w:id="17" w:name="_Toc265249923"/>
      <w:bookmarkStart w:id="18" w:name="_Toc339368457"/>
      <w:bookmarkStart w:id="19" w:name="_Toc342297176"/>
      <w:bookmarkStart w:id="20" w:name="_Toc348024009"/>
      <w:bookmarkStart w:id="21" w:name="_Toc348190726"/>
      <w:r w:rsidRPr="005A68A2">
        <w:rPr>
          <w:lang w:val="es-ES"/>
        </w:rPr>
        <w:tab/>
        <w:t>1. Estructura y Contenido</w:t>
      </w:r>
      <w:r w:rsidRPr="005A68A2">
        <w:rPr>
          <w:lang w:val="es-ES"/>
        </w:rPr>
        <w:br/>
      </w:r>
      <w:r w:rsidRPr="005A68A2">
        <w:rPr>
          <w:lang w:val="es-ES"/>
        </w:rPr>
        <w:tab/>
        <w:t>2. El Significado Original</w:t>
      </w:r>
      <w:r w:rsidRPr="005A68A2">
        <w:rPr>
          <w:lang w:val="es-ES"/>
        </w:rPr>
        <w:br/>
      </w:r>
      <w:r w:rsidRPr="005A68A2">
        <w:rPr>
          <w:lang w:val="es-ES"/>
        </w:rPr>
        <w:tab/>
        <w:t>3. Aplicación Moderna</w:t>
      </w:r>
    </w:p>
    <w:p w:rsidR="005566E5" w:rsidRPr="007376D4" w:rsidRDefault="009924AE" w:rsidP="00FE12F5">
      <w:pPr>
        <w:pStyle w:val="Heading2"/>
        <w:rPr>
          <w:lang w:val="es-ES"/>
        </w:rPr>
      </w:pPr>
      <w:r w:rsidRPr="007376D4">
        <w:rPr>
          <w:lang w:val="es-ES"/>
        </w:rPr>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w:t>
      </w:r>
      <w:r w:rsidRPr="009924AE">
        <w:rPr>
          <w:lang w:val="es-ES"/>
        </w:rPr>
        <w:lastRenderedPageBreak/>
        <w:t xml:space="preserve">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4C2756" w:rsidRPr="00E23ED8" w:rsidRDefault="004C2756" w:rsidP="004C2756">
      <w:pPr>
        <w:pStyle w:val="Heading2"/>
        <w:rPr>
          <w:lang w:val="es-ES"/>
        </w:rPr>
      </w:pPr>
      <w:bookmarkStart w:id="22" w:name="_Toc364787596"/>
      <w:r w:rsidRPr="00E23ED8">
        <w:rPr>
          <w:lang w:val="es-ES"/>
        </w:rPr>
        <w:t>Calificaciones</w:t>
      </w:r>
      <w:bookmarkEnd w:id="22"/>
    </w:p>
    <w:p w:rsidR="005A68A2" w:rsidRDefault="005A68A2" w:rsidP="005A68A2">
      <w:pPr>
        <w:tabs>
          <w:tab w:val="clear" w:pos="432"/>
        </w:tabs>
        <w:rPr>
          <w:lang w:val="es-ES"/>
        </w:rPr>
      </w:pPr>
      <w:bookmarkStart w:id="23" w:name="_Toc342297177"/>
      <w:bookmarkStart w:id="24" w:name="_Toc348024010"/>
      <w:bookmarkStart w:id="25" w:name="_Toc348190727"/>
      <w:r w:rsidRPr="005A68A2">
        <w:rPr>
          <w:lang w:val="es-ES"/>
        </w:rPr>
        <w:t>Recomendamos calcular la nota final, siguiendo una de las tres pautas abajo.</w:t>
      </w:r>
    </w:p>
    <w:p w:rsidR="005A68A2" w:rsidRPr="005A68A2" w:rsidRDefault="005A68A2" w:rsidP="005A68A2">
      <w:pPr>
        <w:tabs>
          <w:tab w:val="clear" w:pos="432"/>
        </w:tabs>
        <w:rPr>
          <w:lang w:val="es-ES"/>
        </w:rPr>
      </w:pPr>
    </w:p>
    <w:tbl>
      <w:tblPr>
        <w:tblStyle w:val="TableGrid"/>
        <w:tblW w:w="0" w:type="auto"/>
        <w:tblLook w:val="04A0"/>
      </w:tblPr>
      <w:tblGrid>
        <w:gridCol w:w="2952"/>
        <w:gridCol w:w="2952"/>
        <w:gridCol w:w="2952"/>
      </w:tblGrid>
      <w:tr w:rsidR="005A68A2" w:rsidRPr="005A68A2" w:rsidTr="002869F3">
        <w:tc>
          <w:tcPr>
            <w:tcW w:w="2952" w:type="dxa"/>
          </w:tcPr>
          <w:p w:rsidR="005A68A2" w:rsidRPr="005A68A2" w:rsidRDefault="005A68A2" w:rsidP="005A68A2">
            <w:pPr>
              <w:tabs>
                <w:tab w:val="clear" w:pos="432"/>
              </w:tabs>
              <w:rPr>
                <w:lang w:val="es-ES"/>
              </w:rPr>
            </w:pPr>
            <w:r w:rsidRPr="005A68A2">
              <w:rPr>
                <w:b/>
                <w:lang w:val="es-ES"/>
              </w:rPr>
              <w:t>Sin la lectura adicional, y sin el proyecto escrito</w:t>
            </w:r>
            <w:r w:rsidRPr="005A68A2">
              <w:rPr>
                <w:lang w:val="es-ES"/>
              </w:rPr>
              <w:t>:</w:t>
            </w:r>
            <w:r w:rsidRPr="005A68A2">
              <w:rPr>
                <w:lang w:val="es-ES"/>
              </w:rPr>
              <w:br/>
            </w:r>
            <w:r w:rsidRPr="005A68A2">
              <w:rPr>
                <w:lang w:val="es-ES"/>
              </w:rPr>
              <w:br/>
              <w:t>Cada prueba vale 33.33%</w:t>
            </w:r>
          </w:p>
          <w:p w:rsidR="005A68A2" w:rsidRPr="005A68A2" w:rsidRDefault="005A68A2" w:rsidP="005A68A2">
            <w:pPr>
              <w:tabs>
                <w:tab w:val="clear" w:pos="432"/>
              </w:tabs>
              <w:rPr>
                <w:lang w:val="es-ES"/>
              </w:rPr>
            </w:pPr>
          </w:p>
        </w:tc>
        <w:tc>
          <w:tcPr>
            <w:tcW w:w="2952" w:type="dxa"/>
          </w:tcPr>
          <w:p w:rsidR="005A68A2" w:rsidRPr="005A68A2" w:rsidRDefault="005A68A2" w:rsidP="005A68A2">
            <w:pPr>
              <w:tabs>
                <w:tab w:val="clear" w:pos="432"/>
              </w:tabs>
              <w:rPr>
                <w:lang w:val="es-ES"/>
              </w:rPr>
            </w:pPr>
            <w:r w:rsidRPr="005A68A2">
              <w:rPr>
                <w:b/>
                <w:lang w:val="es-ES"/>
              </w:rPr>
              <w:t>Incluyendo la lectura adicional, pero sin el proyecto escrito:</w:t>
            </w:r>
            <w:r w:rsidRPr="005A68A2">
              <w:rPr>
                <w:lang w:val="es-ES"/>
              </w:rPr>
              <w:br/>
            </w:r>
            <w:r w:rsidRPr="005A68A2">
              <w:rPr>
                <w:lang w:val="es-ES"/>
              </w:rPr>
              <w:br/>
              <w:t>Cada prueba vale 25% (total 75%)</w:t>
            </w:r>
            <w:r w:rsidRPr="005A68A2">
              <w:rPr>
                <w:lang w:val="es-ES"/>
              </w:rPr>
              <w:br/>
              <w:t>Lectura adicional: 25%</w:t>
            </w:r>
          </w:p>
        </w:tc>
        <w:tc>
          <w:tcPr>
            <w:tcW w:w="2952" w:type="dxa"/>
          </w:tcPr>
          <w:p w:rsidR="005A68A2" w:rsidRPr="005A68A2" w:rsidRDefault="005A68A2" w:rsidP="005A68A2">
            <w:pPr>
              <w:tabs>
                <w:tab w:val="clear" w:pos="432"/>
              </w:tabs>
              <w:rPr>
                <w:lang w:val="es-ES"/>
              </w:rPr>
            </w:pPr>
            <w:r w:rsidRPr="005A68A2">
              <w:rPr>
                <w:b/>
                <w:lang w:val="es-ES"/>
              </w:rPr>
              <w:t>Incluyendo la lectura adicional y el proyecto escrito:</w:t>
            </w:r>
            <w:r w:rsidRPr="005A68A2">
              <w:rPr>
                <w:lang w:val="es-ES"/>
              </w:rPr>
              <w:br/>
            </w:r>
            <w:r w:rsidRPr="005A68A2">
              <w:rPr>
                <w:lang w:val="es-ES"/>
              </w:rPr>
              <w:br/>
              <w:t>Cada prueba vale 20% (total 60%)</w:t>
            </w:r>
            <w:r w:rsidRPr="005A68A2">
              <w:rPr>
                <w:lang w:val="es-ES"/>
              </w:rPr>
              <w:br/>
              <w:t>Lectura adicional: 20%</w:t>
            </w:r>
            <w:r w:rsidRPr="005A68A2">
              <w:rPr>
                <w:lang w:val="es-ES"/>
              </w:rPr>
              <w:br/>
              <w:t>Proyecto escrito: 20%</w:t>
            </w:r>
          </w:p>
        </w:tc>
      </w:tr>
    </w:tbl>
    <w:p w:rsidR="005A68A2" w:rsidRPr="005A68A2" w:rsidRDefault="005A68A2" w:rsidP="005A68A2">
      <w:pPr>
        <w:tabs>
          <w:tab w:val="clear" w:pos="432"/>
        </w:tabs>
        <w:rPr>
          <w:lang w:val="es-ES"/>
        </w:rPr>
      </w:pPr>
    </w:p>
    <w:p w:rsidR="005A68A2" w:rsidRPr="005A68A2" w:rsidRDefault="005A68A2" w:rsidP="005A68A2">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5A68A2" w:rsidRPr="005A68A2" w:rsidRDefault="005A68A2" w:rsidP="005A68A2">
      <w:pPr>
        <w:rPr>
          <w:b/>
          <w:bCs/>
          <w:iCs/>
          <w:lang w:val="es-ES"/>
        </w:rPr>
      </w:pPr>
    </w:p>
    <w:p w:rsidR="005A68A2" w:rsidRPr="005A68A2" w:rsidRDefault="00AA738A" w:rsidP="005A68A2">
      <w:pPr>
        <w:rPr>
          <w:b/>
          <w:bCs/>
          <w:iCs/>
        </w:rPr>
      </w:pPr>
      <w:r>
        <w:pict>
          <v:rect id="_x0000_i1025" style="width:0;height:1.5pt" o:hralign="center" o:hrstd="t" o:hr="t" fillcolor="#a0a0a0" stroked="f"/>
        </w:pict>
      </w:r>
    </w:p>
    <w:p w:rsidR="005A68A2" w:rsidRPr="005A68A2" w:rsidRDefault="005A68A2" w:rsidP="005A68A2">
      <w:pPr>
        <w:rPr>
          <w:b/>
        </w:rPr>
      </w:pPr>
      <w:r w:rsidRPr="005A68A2">
        <w:rPr>
          <w:b/>
        </w:rPr>
        <w:t>REUNIÓN INICIAL DE PLANIFICACIÓN</w:t>
      </w:r>
    </w:p>
    <w:p w:rsidR="005A68A2" w:rsidRPr="005A68A2" w:rsidRDefault="00AA738A" w:rsidP="005A68A2">
      <w:pPr>
        <w:rPr>
          <w:b/>
        </w:rPr>
      </w:pPr>
      <w:r>
        <w:pict>
          <v:rect id="_x0000_i1026" style="width:0;height:1.5pt" o:hralign="center" o:hrstd="t" o:hr="t" fillcolor="#a0a0a0" stroked="f"/>
        </w:pict>
      </w:r>
    </w:p>
    <w:p w:rsidR="005A68A2" w:rsidRPr="005A68A2" w:rsidRDefault="005A68A2" w:rsidP="005A68A2">
      <w:pPr>
        <w:rPr>
          <w:lang w:val="es-ES"/>
        </w:rPr>
      </w:pPr>
      <w:r w:rsidRPr="005A68A2">
        <w:rPr>
          <w:lang w:val="es-ES"/>
        </w:rPr>
        <w:t xml:space="preserve">La primera reunión es una orientación para el curso. Se entregan los materiales y se ponen de acuerdo acerca de las fechas y los horarios de las clases.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NOTA: Si el grupo está estudiando una serie de cursos, recomendamos usar la última reunión de un curso para hacer la orientación para el curso siguiente, para evitar una reunión innecesaria. </w:t>
      </w:r>
    </w:p>
    <w:p w:rsidR="005A68A2" w:rsidRPr="005A68A2" w:rsidRDefault="005A68A2" w:rsidP="005A68A2">
      <w:pPr>
        <w:rPr>
          <w:lang w:val="es-ES"/>
        </w:rPr>
      </w:pPr>
    </w:p>
    <w:p w:rsidR="005A68A2" w:rsidRPr="005A68A2" w:rsidRDefault="00AA738A" w:rsidP="005A68A2">
      <w:pPr>
        <w:rPr>
          <w:lang w:val="es-ES"/>
        </w:rPr>
      </w:pPr>
      <w:r>
        <w:pict>
          <v:rect id="_x0000_i1027" style="width:0;height:1.5pt" o:hralign="center" o:hrstd="t" o:hr="t" fillcolor="#a0a0a0" stroked="f"/>
        </w:pict>
      </w:r>
      <w:r w:rsidR="005A68A2" w:rsidRPr="005A68A2">
        <w:rPr>
          <w:b/>
          <w:lang w:val="es-ES"/>
        </w:rPr>
        <w:t>LECCIÓN 1</w:t>
      </w:r>
    </w:p>
    <w:p w:rsidR="005A68A2" w:rsidRPr="005A68A2" w:rsidRDefault="00AA738A" w:rsidP="005A68A2">
      <w:pPr>
        <w:rPr>
          <w:lang w:val="es-ES"/>
        </w:rPr>
      </w:pPr>
      <w:r>
        <w:pict>
          <v:rect id="_x0000_i1028" style="width:0;height:1.5pt" o:hralign="center" o:hrstd="t" o:hr="t" fillcolor="#a0a0a0" stroked="f"/>
        </w:pict>
      </w:r>
      <w:r w:rsidR="005A68A2" w:rsidRPr="005A68A2">
        <w:rPr>
          <w:lang w:val="es-ES"/>
        </w:rPr>
        <w:t xml:space="preserve">Estudie la primera lección del curso "Padre Abraham", llamada "La vida de Abraham; Estructura y Contenido" Hemos dividido las tareas en partes, según las secciones de la lección. </w:t>
      </w:r>
    </w:p>
    <w:p w:rsidR="005A68A2" w:rsidRPr="005A68A2" w:rsidRDefault="00AA738A" w:rsidP="005A68A2">
      <w:r>
        <w:pict>
          <v:rect id="_x0000_i1029" style="width:0;height:1.5pt" o:hralign="center" o:hrstd="t" o:hr="t" fillcolor="#a0a0a0" stroked="f"/>
        </w:pict>
      </w:r>
    </w:p>
    <w:p w:rsidR="005A68A2" w:rsidRPr="005A68A2" w:rsidRDefault="005A68A2" w:rsidP="005A68A2">
      <w:pPr>
        <w:rPr>
          <w:lang w:val="es-ES"/>
        </w:rPr>
      </w:pPr>
      <w:r w:rsidRPr="005A68A2">
        <w:rPr>
          <w:lang w:val="es-ES"/>
        </w:rPr>
        <w:t xml:space="preserve">SECCIÓN 1 </w:t>
      </w:r>
    </w:p>
    <w:p w:rsidR="005A68A2" w:rsidRPr="005A68A2" w:rsidRDefault="005A68A2" w:rsidP="005A68A2">
      <w:pPr>
        <w:rPr>
          <w:lang w:val="es-ES"/>
        </w:rPr>
      </w:pPr>
      <w:r w:rsidRPr="005A68A2">
        <w:rPr>
          <w:lang w:val="es-ES"/>
        </w:rPr>
        <w:t>1. Estudie la primera sección del video, "Diseño literario".  </w:t>
      </w:r>
    </w:p>
    <w:p w:rsidR="005A68A2" w:rsidRPr="005A68A2" w:rsidRDefault="005A68A2" w:rsidP="005A68A2">
      <w:pPr>
        <w:rPr>
          <w:lang w:val="es-ES"/>
        </w:rPr>
      </w:pPr>
      <w:r w:rsidRPr="005A68A2">
        <w:rPr>
          <w:lang w:val="es-ES"/>
        </w:rPr>
        <w:t>Recuerde: También puede estudiar la lección escuchando el audio o leyendo el texto.</w:t>
      </w:r>
    </w:p>
    <w:p w:rsidR="005A68A2" w:rsidRPr="005A68A2" w:rsidRDefault="005A68A2" w:rsidP="005A68A2">
      <w:pPr>
        <w:rPr>
          <w:lang w:val="es-ES"/>
        </w:rPr>
      </w:pPr>
      <w:r w:rsidRPr="005A68A2">
        <w:rPr>
          <w:lang w:val="es-ES"/>
        </w:rPr>
        <w:t xml:space="preserve">2. Use la Guía de Estudio 1.1 para asimilar mejor el contenido. Ocupe el esquema para tomar notas, conteste las preguntas de repaso, y conteste las preguntas para aplicación.  </w:t>
      </w:r>
    </w:p>
    <w:p w:rsidR="005A68A2" w:rsidRPr="005A68A2" w:rsidRDefault="00AA738A" w:rsidP="005A68A2">
      <w:r>
        <w:pict>
          <v:rect id="_x0000_i1030" style="width:0;height:1.5pt" o:hralign="center" o:hrstd="t" o:hr="t" fillcolor="#a0a0a0" stroked="f"/>
        </w:pict>
      </w:r>
    </w:p>
    <w:p w:rsidR="005A68A2" w:rsidRPr="005A68A2" w:rsidRDefault="005A68A2" w:rsidP="005A68A2">
      <w:pPr>
        <w:rPr>
          <w:lang w:val="es-ES"/>
        </w:rPr>
      </w:pPr>
      <w:r w:rsidRPr="005A68A2">
        <w:rPr>
          <w:lang w:val="es-ES"/>
        </w:rPr>
        <w:t xml:space="preserve">SECCIÓN 2 </w:t>
      </w:r>
    </w:p>
    <w:p w:rsidR="005A68A2" w:rsidRPr="005A68A2" w:rsidRDefault="005A68A2" w:rsidP="005A68A2">
      <w:pPr>
        <w:rPr>
          <w:lang w:val="es-ES"/>
        </w:rPr>
      </w:pPr>
      <w:r w:rsidRPr="005A68A2">
        <w:rPr>
          <w:lang w:val="es-ES"/>
        </w:rPr>
        <w:t xml:space="preserve">1. Estudie sección 2 de la lección, "Estructura literaria", ocupando la Guía de Estudio 1.2. </w:t>
      </w:r>
    </w:p>
    <w:p w:rsidR="005A68A2" w:rsidRPr="005A68A2" w:rsidRDefault="005A68A2" w:rsidP="005A68A2">
      <w:pPr>
        <w:rPr>
          <w:lang w:val="es-ES"/>
        </w:rPr>
      </w:pPr>
      <w:r w:rsidRPr="005A68A2">
        <w:rPr>
          <w:lang w:val="es-ES"/>
        </w:rPr>
        <w:t xml:space="preserve">2. Repase todas las secciones de la lección, preparándose para la prueba.      </w:t>
      </w:r>
    </w:p>
    <w:p w:rsidR="005A68A2" w:rsidRPr="005A68A2" w:rsidRDefault="005A68A2" w:rsidP="005A68A2">
      <w:pPr>
        <w:rPr>
          <w:lang w:val="es-ES"/>
        </w:rPr>
      </w:pPr>
      <w:r w:rsidRPr="005A68A2">
        <w:rPr>
          <w:lang w:val="es-ES"/>
        </w:rPr>
        <w:t xml:space="preserve">    </w:t>
      </w:r>
    </w:p>
    <w:p w:rsidR="005A68A2" w:rsidRPr="005A68A2" w:rsidRDefault="005A68A2" w:rsidP="005A68A2">
      <w:pPr>
        <w:rPr>
          <w:lang w:val="es-ES"/>
        </w:rPr>
      </w:pPr>
      <w:r w:rsidRPr="005A68A2">
        <w:rPr>
          <w:lang w:val="es-ES"/>
        </w:rPr>
        <w:t>NOTA: Si el alumno va a leer la lectura adicional, podría mirar las tareas abajo y comenzar desde ahora. Esto evitaría tener que leer mucho al final.</w:t>
      </w:r>
    </w:p>
    <w:p w:rsidR="005A68A2" w:rsidRPr="005A68A2" w:rsidRDefault="005A68A2" w:rsidP="005A68A2">
      <w:pPr>
        <w:rPr>
          <w:b/>
          <w:bCs/>
          <w:iCs/>
          <w:lang w:val="es-ES"/>
        </w:rPr>
      </w:pPr>
    </w:p>
    <w:p w:rsidR="005A68A2" w:rsidRPr="005A68A2" w:rsidRDefault="005A68A2" w:rsidP="005A68A2">
      <w:pPr>
        <w:rPr>
          <w:lang w:val="es-ES"/>
        </w:rPr>
      </w:pPr>
    </w:p>
    <w:p w:rsidR="005A68A2" w:rsidRPr="005A68A2" w:rsidRDefault="005A68A2" w:rsidP="005A68A2">
      <w:pPr>
        <w:rPr>
          <w:lang w:val="es-ES"/>
        </w:rPr>
      </w:pPr>
      <w:r w:rsidRPr="005A68A2">
        <w:rPr>
          <w:lang w:val="es-ES"/>
        </w:rPr>
        <w:br w:type="page"/>
      </w:r>
    </w:p>
    <w:p w:rsidR="005A68A2" w:rsidRPr="005A68A2" w:rsidRDefault="005A68A2" w:rsidP="005A68A2">
      <w:pPr>
        <w:rPr>
          <w:lang w:val="es-ES"/>
        </w:rPr>
      </w:pPr>
    </w:p>
    <w:p w:rsidR="005A68A2" w:rsidRPr="005A68A2" w:rsidRDefault="00AA738A" w:rsidP="005A68A2">
      <w:pPr>
        <w:rPr>
          <w:lang w:val="es-ES"/>
        </w:rPr>
      </w:pPr>
      <w:r>
        <w:pict>
          <v:rect id="_x0000_i1031" style="width:0;height:1.5pt" o:hralign="center" o:hrstd="t" o:hr="t" fillcolor="#a0a0a0" stroked="f"/>
        </w:pict>
      </w:r>
      <w:r w:rsidR="005A68A2" w:rsidRPr="005A68A2">
        <w:rPr>
          <w:b/>
          <w:lang w:val="es-ES"/>
        </w:rPr>
        <w:t>SESIÓN 2</w:t>
      </w:r>
    </w:p>
    <w:p w:rsidR="005A68A2" w:rsidRPr="005A68A2" w:rsidRDefault="00AA738A" w:rsidP="005A68A2">
      <w:pPr>
        <w:rPr>
          <w:lang w:val="es-ES"/>
        </w:rPr>
      </w:pPr>
      <w:r>
        <w:pict>
          <v:rect id="_x0000_i1032" style="width:0;height:1.5pt" o:hralign="center" o:hrstd="t" o:hr="t" fillcolor="#a0a0a0" stroked="f"/>
        </w:pict>
      </w:r>
      <w:r w:rsidR="005A68A2" w:rsidRPr="005A68A2">
        <w:rPr>
          <w:lang w:val="es-ES"/>
        </w:rPr>
        <w:t xml:space="preserve">Estudie la segunda lección del curso "Padre Abraham", llamada "La Vida de Abraham: El Significado Original". Hemos dividido las tareas en partes, según las secciones de la lección. </w:t>
      </w:r>
    </w:p>
    <w:p w:rsidR="005A68A2" w:rsidRPr="005A68A2" w:rsidRDefault="00AA738A" w:rsidP="005A68A2">
      <w:r>
        <w:pict>
          <v:rect id="_x0000_i1033" style="width:0;height:1.5pt" o:hralign="center" o:hrstd="t" o:hr="t" fillcolor="#a0a0a0" stroked="f"/>
        </w:pict>
      </w:r>
    </w:p>
    <w:p w:rsidR="005A68A2" w:rsidRPr="005A68A2" w:rsidRDefault="005A68A2" w:rsidP="005A68A2">
      <w:pPr>
        <w:rPr>
          <w:lang w:val="es-ES"/>
        </w:rPr>
      </w:pPr>
      <w:r w:rsidRPr="005A68A2">
        <w:rPr>
          <w:lang w:val="es-ES"/>
        </w:rPr>
        <w:t xml:space="preserve">SECCIÓN 1 </w:t>
      </w:r>
    </w:p>
    <w:p w:rsidR="005A68A2" w:rsidRPr="005A68A2" w:rsidRDefault="005A68A2" w:rsidP="005A68A2">
      <w:pPr>
        <w:rPr>
          <w:lang w:val="es-ES"/>
        </w:rPr>
      </w:pPr>
      <w:r w:rsidRPr="005A68A2">
        <w:rPr>
          <w:lang w:val="es-ES"/>
        </w:rPr>
        <w:t>1. Estudie la primera sección del video, "Conexiones".  </w:t>
      </w:r>
    </w:p>
    <w:p w:rsidR="005A68A2" w:rsidRPr="005A68A2" w:rsidRDefault="005A68A2" w:rsidP="005A68A2">
      <w:pPr>
        <w:rPr>
          <w:lang w:val="es-ES"/>
        </w:rPr>
      </w:pPr>
      <w:r w:rsidRPr="005A68A2">
        <w:rPr>
          <w:lang w:val="es-ES"/>
        </w:rPr>
        <w:t>Recuerde: También puede estudiar la lección escuchando el audio o leyendo el texto.</w:t>
      </w:r>
    </w:p>
    <w:p w:rsidR="005A68A2" w:rsidRPr="005A68A2" w:rsidRDefault="005A68A2" w:rsidP="005A68A2">
      <w:pPr>
        <w:rPr>
          <w:lang w:val="es-ES"/>
        </w:rPr>
      </w:pPr>
      <w:r w:rsidRPr="005A68A2">
        <w:rPr>
          <w:lang w:val="es-ES"/>
        </w:rPr>
        <w:t xml:space="preserve">2. Use la Guía de Estudio 2.1 para asimilar mejor el contenido. Ocupe el esquema para tomar notas, conteste las preguntas de repaso, y conteste las preguntas para aplicación.  </w:t>
      </w:r>
    </w:p>
    <w:p w:rsidR="005A68A2" w:rsidRPr="005A68A2" w:rsidRDefault="00AA738A" w:rsidP="005A68A2">
      <w:r>
        <w:pict>
          <v:rect id="_x0000_i1034" style="width:0;height:1.5pt" o:hralign="center" o:hrstd="t" o:hr="t" fillcolor="#a0a0a0" stroked="f"/>
        </w:pict>
      </w:r>
    </w:p>
    <w:p w:rsidR="005A68A2" w:rsidRPr="005A68A2" w:rsidRDefault="005A68A2" w:rsidP="005A68A2">
      <w:pPr>
        <w:rPr>
          <w:lang w:val="es-ES"/>
        </w:rPr>
      </w:pPr>
      <w:r w:rsidRPr="005A68A2">
        <w:rPr>
          <w:lang w:val="es-ES"/>
        </w:rPr>
        <w:t xml:space="preserve">SECCIÓN 2 </w:t>
      </w:r>
    </w:p>
    <w:p w:rsidR="005A68A2" w:rsidRPr="005A68A2" w:rsidRDefault="005A68A2" w:rsidP="005A68A2">
      <w:pPr>
        <w:rPr>
          <w:lang w:val="es-ES"/>
        </w:rPr>
      </w:pPr>
      <w:r w:rsidRPr="005A68A2">
        <w:rPr>
          <w:lang w:val="es-ES"/>
        </w:rPr>
        <w:t xml:space="preserve">1. Estudie sección 2 de la lección, "Implicaciones", ocupando la Guía de Estudio 2.2. </w:t>
      </w:r>
    </w:p>
    <w:p w:rsidR="005A68A2" w:rsidRPr="005A68A2" w:rsidRDefault="005A68A2" w:rsidP="005A68A2">
      <w:pPr>
        <w:rPr>
          <w:lang w:val="es-ES"/>
        </w:rPr>
      </w:pPr>
      <w:r w:rsidRPr="005A68A2">
        <w:rPr>
          <w:lang w:val="es-ES"/>
        </w:rPr>
        <w:t xml:space="preserve">2. Repase todas las secciones de la lección, preparándose para la prueba.      </w:t>
      </w:r>
    </w:p>
    <w:p w:rsidR="005A68A2" w:rsidRPr="005A68A2" w:rsidRDefault="005A68A2" w:rsidP="005A68A2">
      <w:pPr>
        <w:rPr>
          <w:lang w:val="es-ES"/>
        </w:rPr>
      </w:pPr>
      <w:r w:rsidRPr="005A68A2">
        <w:rPr>
          <w:lang w:val="es-ES"/>
        </w:rPr>
        <w:br w:type="page"/>
      </w:r>
    </w:p>
    <w:p w:rsidR="005A68A2" w:rsidRPr="005A68A2" w:rsidRDefault="005A68A2" w:rsidP="005A68A2">
      <w:pPr>
        <w:rPr>
          <w:lang w:val="es-ES"/>
        </w:rPr>
      </w:pPr>
    </w:p>
    <w:p w:rsidR="005A68A2" w:rsidRPr="005A68A2" w:rsidRDefault="00AA738A" w:rsidP="005A68A2">
      <w:pPr>
        <w:rPr>
          <w:lang w:val="es-ES"/>
        </w:rPr>
      </w:pPr>
      <w:r>
        <w:pict>
          <v:rect id="_x0000_i1035" style="width:0;height:1.5pt" o:hralign="center" o:hrstd="t" o:hr="t" fillcolor="#a0a0a0" stroked="f"/>
        </w:pict>
      </w:r>
      <w:r w:rsidR="005A68A2" w:rsidRPr="005A68A2">
        <w:rPr>
          <w:b/>
          <w:lang w:val="es-ES"/>
        </w:rPr>
        <w:t>SESIÓN 3</w:t>
      </w:r>
    </w:p>
    <w:p w:rsidR="005A68A2" w:rsidRPr="005A68A2" w:rsidRDefault="00AA738A" w:rsidP="005A68A2">
      <w:pPr>
        <w:rPr>
          <w:lang w:val="es-ES"/>
        </w:rPr>
      </w:pPr>
      <w:r>
        <w:pict>
          <v:rect id="_x0000_i1036" style="width:0;height:1.5pt" o:hralign="center" o:hrstd="t" o:hr="t" fillcolor="#a0a0a0" stroked="f"/>
        </w:pict>
      </w:r>
      <w:r w:rsidR="005A68A2" w:rsidRPr="005A68A2">
        <w:rPr>
          <w:lang w:val="es-ES"/>
        </w:rPr>
        <w:t xml:space="preserve">Estudie la tercera lección del curso "Padre Abraham", llamada "La vida de Abraham: Aplicación Moderna". Hemos dividido las tareas en partes, según las secciones de la lección. </w:t>
      </w:r>
    </w:p>
    <w:p w:rsidR="005A68A2" w:rsidRPr="005A68A2" w:rsidRDefault="00AA738A" w:rsidP="005A68A2">
      <w:r>
        <w:pict>
          <v:rect id="_x0000_i1037" style="width:0;height:1.5pt" o:hralign="center" o:hrstd="t" o:hr="t" fillcolor="#a0a0a0" stroked="f"/>
        </w:pict>
      </w:r>
    </w:p>
    <w:p w:rsidR="005A68A2" w:rsidRPr="005A68A2" w:rsidRDefault="005A68A2" w:rsidP="005A68A2">
      <w:pPr>
        <w:rPr>
          <w:lang w:val="es-ES"/>
        </w:rPr>
      </w:pPr>
      <w:r w:rsidRPr="005A68A2">
        <w:rPr>
          <w:lang w:val="es-ES"/>
        </w:rPr>
        <w:t xml:space="preserve">SECCIÓN 1 </w:t>
      </w:r>
    </w:p>
    <w:p w:rsidR="005A68A2" w:rsidRPr="005A68A2" w:rsidRDefault="005A68A2" w:rsidP="005A68A2">
      <w:pPr>
        <w:rPr>
          <w:lang w:val="es-ES"/>
        </w:rPr>
      </w:pPr>
      <w:r w:rsidRPr="005A68A2">
        <w:rPr>
          <w:lang w:val="es-ES"/>
        </w:rPr>
        <w:t>1. Estudie la primera sección del video, "Abraham y Jesús".  </w:t>
      </w:r>
    </w:p>
    <w:p w:rsidR="005A68A2" w:rsidRPr="005A68A2" w:rsidRDefault="005A68A2" w:rsidP="005A68A2">
      <w:pPr>
        <w:rPr>
          <w:lang w:val="es-ES"/>
        </w:rPr>
      </w:pPr>
      <w:r w:rsidRPr="005A68A2">
        <w:rPr>
          <w:lang w:val="es-ES"/>
        </w:rPr>
        <w:t>Recuerde: También puede estudiar la lección escuchando el audio o leyendo el texto.</w:t>
      </w:r>
    </w:p>
    <w:p w:rsidR="005A68A2" w:rsidRPr="005A68A2" w:rsidRDefault="005A68A2" w:rsidP="005A68A2">
      <w:pPr>
        <w:rPr>
          <w:lang w:val="es-ES"/>
        </w:rPr>
      </w:pPr>
      <w:r w:rsidRPr="005A68A2">
        <w:rPr>
          <w:lang w:val="es-ES"/>
        </w:rPr>
        <w:t xml:space="preserve">2. Use la Guía de Estudio 3.1 para asimilar mejor el contenido. Ocupe el esquema para tomar notas, conteste las preguntas de repaso, y conteste las preguntas para aplicación.  </w:t>
      </w:r>
    </w:p>
    <w:p w:rsidR="005A68A2" w:rsidRPr="005A68A2" w:rsidRDefault="00AA738A" w:rsidP="005A68A2">
      <w:r>
        <w:pict>
          <v:rect id="_x0000_i1038" style="width:0;height:1.5pt" o:hralign="center" o:hrstd="t" o:hr="t" fillcolor="#a0a0a0" stroked="f"/>
        </w:pict>
      </w:r>
    </w:p>
    <w:p w:rsidR="005A68A2" w:rsidRPr="005A68A2" w:rsidRDefault="005A68A2" w:rsidP="005A68A2">
      <w:pPr>
        <w:rPr>
          <w:lang w:val="es-ES"/>
        </w:rPr>
      </w:pPr>
      <w:r w:rsidRPr="005A68A2">
        <w:rPr>
          <w:lang w:val="es-ES"/>
        </w:rPr>
        <w:t xml:space="preserve">SECCIÓN 2 </w:t>
      </w:r>
    </w:p>
    <w:p w:rsidR="005A68A2" w:rsidRPr="005A68A2" w:rsidRDefault="005A68A2" w:rsidP="005A68A2">
      <w:pPr>
        <w:rPr>
          <w:lang w:val="es-ES"/>
        </w:rPr>
      </w:pPr>
      <w:r w:rsidRPr="005A68A2">
        <w:rPr>
          <w:lang w:val="es-ES"/>
        </w:rPr>
        <w:t xml:space="preserve">1. Estudie sección 2 de la lección, "Israel y la Iglesia", ocupando la Guía de Estudio 3.2. </w:t>
      </w:r>
    </w:p>
    <w:p w:rsidR="005A68A2" w:rsidRPr="005A68A2" w:rsidRDefault="005A68A2" w:rsidP="005A68A2">
      <w:pPr>
        <w:rPr>
          <w:lang w:val="es-ES"/>
        </w:rPr>
      </w:pPr>
      <w:r w:rsidRPr="005A68A2">
        <w:rPr>
          <w:lang w:val="es-ES"/>
        </w:rPr>
        <w:t xml:space="preserve">2. Repase todas las secciones de la lección, preparándose para la prueba.      </w:t>
      </w:r>
    </w:p>
    <w:p w:rsidR="005A68A2" w:rsidRPr="005A68A2" w:rsidRDefault="005A68A2" w:rsidP="005A68A2">
      <w:pPr>
        <w:rPr>
          <w:lang w:val="es-ES"/>
        </w:rPr>
      </w:pPr>
      <w:r w:rsidRPr="005A68A2">
        <w:rPr>
          <w:lang w:val="es-ES"/>
        </w:rPr>
        <w:br w:type="page"/>
      </w:r>
    </w:p>
    <w:p w:rsidR="005A68A2" w:rsidRPr="005A68A2" w:rsidRDefault="005A68A2" w:rsidP="005A68A2">
      <w:pPr>
        <w:rPr>
          <w:lang w:val="es-ES"/>
        </w:rPr>
      </w:pPr>
    </w:p>
    <w:p w:rsidR="005A68A2" w:rsidRPr="005A68A2" w:rsidRDefault="00AA738A" w:rsidP="005A68A2">
      <w:pPr>
        <w:rPr>
          <w:lang w:val="es-ES"/>
        </w:rPr>
      </w:pPr>
      <w:r>
        <w:pict>
          <v:rect id="_x0000_i1039" style="width:0;height:1.5pt" o:hralign="center" o:hrstd="t" o:hr="t" fillcolor="#a0a0a0" stroked="f"/>
        </w:pict>
      </w:r>
      <w:r w:rsidR="005A68A2" w:rsidRPr="005A68A2">
        <w:rPr>
          <w:b/>
          <w:lang w:val="es-ES"/>
        </w:rPr>
        <w:t>LA LECTURA ADICIONAL</w:t>
      </w:r>
    </w:p>
    <w:p w:rsidR="005A68A2" w:rsidRPr="005A68A2" w:rsidRDefault="00AA738A" w:rsidP="005A68A2">
      <w:pPr>
        <w:rPr>
          <w:lang w:val="es-ES"/>
        </w:rPr>
      </w:pPr>
      <w:r>
        <w:pict>
          <v:rect id="_x0000_i1040" style="width:0;height:1.5pt" o:hralign="center" o:hrstd="t" o:hr="t" fillcolor="#a0a0a0" stroked="f"/>
        </w:pict>
      </w:r>
    </w:p>
    <w:p w:rsidR="005A68A2" w:rsidRPr="005A68A2" w:rsidRDefault="005A68A2" w:rsidP="005A68A2">
      <w:pPr>
        <w:rPr>
          <w:lang w:val="es-ES"/>
        </w:rPr>
      </w:pPr>
    </w:p>
    <w:p w:rsidR="005A68A2" w:rsidRPr="005A68A2" w:rsidRDefault="005A68A2" w:rsidP="005A68A2">
      <w:pPr>
        <w:rPr>
          <w:lang w:val="es-ES"/>
        </w:rPr>
      </w:pPr>
      <w:r w:rsidRPr="005A68A2">
        <w:rPr>
          <w:lang w:val="es-ES"/>
        </w:rPr>
        <w:t>OPCIÓN 1</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1. Lea Génesis 11-25, y las porciones indicadas abajo de </w:t>
      </w:r>
      <w:r w:rsidRPr="005A68A2">
        <w:rPr>
          <w:i/>
          <w:lang w:val="es-ES"/>
        </w:rPr>
        <w:t>Exploremos Génesis</w:t>
      </w:r>
      <w:r w:rsidRPr="005A68A2">
        <w:rPr>
          <w:lang w:val="es-ES"/>
        </w:rPr>
        <w:t xml:space="preserve">, por Alfred Edersheim y Richard Ramsay.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El libro se puede encontrar en el sitio de LOGOI: </w:t>
      </w:r>
      <w:hyperlink r:id="rId10" w:history="1">
        <w:r w:rsidRPr="005A68A2">
          <w:rPr>
            <w:rStyle w:val="Hyperlink"/>
            <w:lang w:val="es-ES"/>
          </w:rPr>
          <w:t>https://logoi.org/es/</w:t>
        </w:r>
      </w:hyperlink>
      <w:r w:rsidRPr="005A68A2">
        <w:rPr>
          <w:lang w:val="es-ES"/>
        </w:rPr>
        <w:t xml:space="preserve">  (Vea "Recursos Bíblicos"/"Libros")</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El libro </w:t>
      </w:r>
      <w:r w:rsidRPr="005A68A2">
        <w:rPr>
          <w:i/>
          <w:lang w:val="es-ES"/>
        </w:rPr>
        <w:t>Exploremos Génesis</w:t>
      </w:r>
      <w:r w:rsidRPr="005A68A2">
        <w:rPr>
          <w:lang w:val="es-ES"/>
        </w:rPr>
        <w:t xml:space="preserve"> tiene dos partes. La primera parte es el "Comentario Histórico al Antiguo Testamento" por Alfred Edersheim. La segunda parte se llama "Nuestros Comienzos", y son lecciones inductivas sobre Génesis por Richard Ramsay. </w:t>
      </w:r>
    </w:p>
    <w:p w:rsidR="005A68A2" w:rsidRPr="005A68A2" w:rsidRDefault="005A68A2" w:rsidP="005A68A2">
      <w:pPr>
        <w:rPr>
          <w:lang w:val="es-ES"/>
        </w:rPr>
      </w:pPr>
    </w:p>
    <w:p w:rsidR="005A68A2" w:rsidRPr="005A68A2" w:rsidRDefault="005A68A2" w:rsidP="005A68A2">
      <w:pPr>
        <w:rPr>
          <w:lang w:val="es-ES"/>
        </w:rPr>
      </w:pPr>
      <w:r w:rsidRPr="005A68A2">
        <w:rPr>
          <w:lang w:val="es-ES"/>
        </w:rPr>
        <w:t>Hemos dividido la lectura en cuatro tareas:</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a. La primera tarea es de leer Génesis 11-25 y páginas 367-418 en el texto </w:t>
      </w:r>
      <w:r w:rsidRPr="005A68A2">
        <w:rPr>
          <w:i/>
          <w:iCs/>
          <w:lang w:val="es-ES"/>
        </w:rPr>
        <w:t>Exploremos Génesis</w:t>
      </w:r>
      <w:r w:rsidRPr="005A68A2">
        <w:rPr>
          <w:lang w:val="es-ES"/>
        </w:rPr>
        <w:t xml:space="preserve">. </w:t>
      </w:r>
    </w:p>
    <w:p w:rsidR="005A68A2" w:rsidRPr="005A68A2" w:rsidRDefault="005A68A2" w:rsidP="005A68A2">
      <w:pPr>
        <w:rPr>
          <w:lang w:val="es-ES"/>
        </w:rPr>
      </w:pPr>
      <w:r w:rsidRPr="005A68A2">
        <w:rPr>
          <w:lang w:val="es-ES"/>
        </w:rPr>
        <w:t>Son lecciones 11-15 de la segunda parte del libro, "Nuestros Comienzos", por Richard Ramsay.</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b. La segunda tarea es de leer páginas 95-137 en el texto </w:t>
      </w:r>
      <w:r w:rsidRPr="005A68A2">
        <w:rPr>
          <w:i/>
          <w:iCs/>
          <w:lang w:val="es-ES"/>
        </w:rPr>
        <w:t xml:space="preserve">Exploremos Génesis. </w:t>
      </w:r>
      <w:r w:rsidRPr="005A68A2">
        <w:rPr>
          <w:iCs/>
          <w:lang w:val="es-ES"/>
        </w:rPr>
        <w:t>Son</w:t>
      </w:r>
      <w:r w:rsidRPr="005A68A2">
        <w:rPr>
          <w:lang w:val="es-ES"/>
        </w:rPr>
        <w:t xml:space="preserve"> capítulos 11-14 de la primera parte del libro, "El Comentario Histórico del Antiguo Testamento" por Alfred Edersheim.</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c. La tercera tarea es de leer páginas 139-191 en </w:t>
      </w:r>
      <w:r w:rsidRPr="005A68A2">
        <w:rPr>
          <w:i/>
          <w:lang w:val="es-ES"/>
        </w:rPr>
        <w:t>Exploremos Génesis</w:t>
      </w:r>
      <w:r w:rsidRPr="005A68A2">
        <w:rPr>
          <w:lang w:val="es-ES"/>
        </w:rPr>
        <w:t>.  Son capítulos  15-19 del "Comentario Histórico al Antiguo Testamento" por Alfred Edersheim.</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d. La cuarta tarea es de leer páginas 193-239 en </w:t>
      </w:r>
      <w:r w:rsidRPr="005A68A2">
        <w:rPr>
          <w:i/>
          <w:lang w:val="es-ES"/>
        </w:rPr>
        <w:t>Exploremos Génesis</w:t>
      </w:r>
      <w:r w:rsidRPr="005A68A2">
        <w:rPr>
          <w:lang w:val="es-ES"/>
        </w:rPr>
        <w:t>. Son los capítulos 20-23 del "Comentario Histórico al Antiguo Testamento" por Alfred Edersheim.</w:t>
      </w:r>
    </w:p>
    <w:p w:rsidR="005A68A2" w:rsidRPr="005A68A2" w:rsidRDefault="005A68A2" w:rsidP="005A68A2">
      <w:pPr>
        <w:rPr>
          <w:lang w:val="es-ES"/>
        </w:rPr>
      </w:pPr>
    </w:p>
    <w:p w:rsidR="005A68A2" w:rsidRPr="005A68A2" w:rsidRDefault="005A68A2" w:rsidP="005A68A2">
      <w:pPr>
        <w:rPr>
          <w:lang w:val="es-ES"/>
        </w:rPr>
      </w:pPr>
      <w:r w:rsidRPr="005A68A2">
        <w:rPr>
          <w:lang w:val="es-ES"/>
        </w:rPr>
        <w:t>NOTA: Algunos grupos podrían optar por leer solamente porciones de las lecturas indicadas arriba.</w:t>
      </w:r>
    </w:p>
    <w:p w:rsidR="005A68A2" w:rsidRPr="005A68A2" w:rsidRDefault="005A68A2" w:rsidP="005A68A2">
      <w:pPr>
        <w:rPr>
          <w:lang w:val="es-ES"/>
        </w:rPr>
      </w:pPr>
    </w:p>
    <w:p w:rsidR="005A68A2" w:rsidRPr="005A68A2" w:rsidRDefault="005A68A2" w:rsidP="005A68A2">
      <w:pPr>
        <w:rPr>
          <w:lang w:val="es-ES"/>
        </w:rPr>
      </w:pPr>
      <w:r w:rsidRPr="005A68A2">
        <w:rPr>
          <w:lang w:val="es-ES"/>
        </w:rPr>
        <w:t>2. Use las guías de estudio que se encuentran en el "Paquete Académico" para aprender las cosas más importantes.</w:t>
      </w:r>
    </w:p>
    <w:p w:rsidR="005A68A2" w:rsidRPr="005A68A2" w:rsidRDefault="005A68A2" w:rsidP="005A68A2">
      <w:pPr>
        <w:rPr>
          <w:lang w:val="es-ES"/>
        </w:rPr>
      </w:pPr>
    </w:p>
    <w:p w:rsidR="005A68A2" w:rsidRPr="005A68A2" w:rsidRDefault="005A68A2" w:rsidP="005A68A2">
      <w:pPr>
        <w:rPr>
          <w:lang w:val="es-ES"/>
        </w:rPr>
      </w:pPr>
      <w:r w:rsidRPr="005A68A2">
        <w:rPr>
          <w:lang w:val="es-ES"/>
        </w:rPr>
        <w:t>3. Prepárese para hacer una prueba sobre estos materiales.</w:t>
      </w:r>
    </w:p>
    <w:p w:rsidR="005A68A2" w:rsidRPr="005A68A2" w:rsidRDefault="005A68A2" w:rsidP="005A68A2">
      <w:pPr>
        <w:rPr>
          <w:lang w:val="es-ES"/>
        </w:rPr>
      </w:pPr>
    </w:p>
    <w:p w:rsidR="005A68A2" w:rsidRPr="005A68A2" w:rsidRDefault="005A68A2" w:rsidP="005A68A2">
      <w:pPr>
        <w:rPr>
          <w:lang w:val="es-ES"/>
        </w:rPr>
      </w:pPr>
      <w:r w:rsidRPr="005A68A2">
        <w:rPr>
          <w:lang w:val="es-ES"/>
        </w:rPr>
        <w:t>OPCIÓN 2</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5A68A2" w:rsidRPr="005A68A2" w:rsidRDefault="005A68A2" w:rsidP="005A68A2">
      <w:pPr>
        <w:rPr>
          <w:lang w:val="es-ES"/>
        </w:rPr>
      </w:pPr>
      <w:r w:rsidRPr="005A68A2">
        <w:rPr>
          <w:lang w:val="es-ES"/>
        </w:rPr>
        <w:t>2. Complete un informe sobre cada libro o artículo, usando el "Formulario para Informes de Lectura" que se encuentra en el "Paquete Académico".</w:t>
      </w:r>
    </w:p>
    <w:p w:rsidR="005A68A2" w:rsidRPr="005A68A2" w:rsidRDefault="005A68A2" w:rsidP="005A68A2">
      <w:pPr>
        <w:rPr>
          <w:lang w:val="es-ES"/>
        </w:rPr>
      </w:pPr>
      <w:r w:rsidRPr="005A68A2">
        <w:rPr>
          <w:lang w:val="es-ES"/>
        </w:rPr>
        <w:t>3. Prepárese para compartir lo que está aprendiendo en su lectura y entregar los informes.</w:t>
      </w:r>
    </w:p>
    <w:p w:rsidR="005A68A2" w:rsidRPr="005A68A2" w:rsidRDefault="005A68A2" w:rsidP="005A68A2">
      <w:pPr>
        <w:rPr>
          <w:lang w:val="es-ES"/>
        </w:rPr>
      </w:pPr>
      <w:r w:rsidRPr="005A68A2">
        <w:rPr>
          <w:lang w:val="es-ES"/>
        </w:rPr>
        <w:br w:type="page"/>
      </w:r>
    </w:p>
    <w:p w:rsidR="005A68A2" w:rsidRPr="005A68A2" w:rsidRDefault="00AA738A" w:rsidP="005A68A2">
      <w:pPr>
        <w:rPr>
          <w:lang w:val="es-ES"/>
        </w:rPr>
      </w:pPr>
      <w:r>
        <w:lastRenderedPageBreak/>
        <w:pict>
          <v:rect id="_x0000_i1041" style="width:0;height:1.5pt" o:hralign="center" o:hrstd="t" o:hr="t" fillcolor="#a0a0a0" stroked="f"/>
        </w:pict>
      </w:r>
      <w:r w:rsidR="005A68A2" w:rsidRPr="005A68A2">
        <w:rPr>
          <w:b/>
          <w:lang w:val="es-ES"/>
        </w:rPr>
        <w:t>EL PROYECTO ESCRITO OPCIONAL</w:t>
      </w:r>
    </w:p>
    <w:p w:rsidR="005A68A2" w:rsidRPr="005A68A2" w:rsidRDefault="00AA738A" w:rsidP="005A68A2">
      <w:r>
        <w:pict>
          <v:rect id="_x0000_i1042" style="width:0;height:1.5pt" o:hralign="center" o:hrstd="t" o:hr="t" fillcolor="#a0a0a0" stroked="f"/>
        </w:pic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Escriba un proyecto de 8-10 páginas, analizando un pasaje breve entre Génesis 11:10 y Génesis 25:18. Siga los pasos específicos presentados aquí, y las " Pautas para escribir un ensayo " encontradas más abajo. No debe usar el mismo pasaje que ha usado para otro curso. </w:t>
      </w:r>
    </w:p>
    <w:p w:rsidR="005A68A2" w:rsidRPr="005A68A2" w:rsidRDefault="005A68A2" w:rsidP="005A68A2">
      <w:pPr>
        <w:rPr>
          <w:lang w:val="es-ES"/>
        </w:rPr>
      </w:pPr>
    </w:p>
    <w:p w:rsidR="005A68A2" w:rsidRPr="005A68A2" w:rsidRDefault="005A68A2" w:rsidP="005A68A2">
      <w:pPr>
        <w:rPr>
          <w:b/>
          <w:bCs/>
          <w:lang w:val="es-ES"/>
        </w:rPr>
      </w:pPr>
      <w:r w:rsidRPr="005A68A2">
        <w:rPr>
          <w:b/>
          <w:bCs/>
          <w:lang w:val="es-ES"/>
        </w:rPr>
        <w:t>Pasos Específicos</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1. Seleccione un pasaje breve, posiblemente 1-10 versículos, entre Génesis 11:10 y Génesis 25:18. Seleccione un pasaje que es un poco difícil de entender al principio, algo que despierte su curiosidad y su interés.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3. Busque respuestas para estas preguntas. Lea diferentes versiones de la Biblia. Estudie el contexto del pasaje. Busque pasajes paralelos. Busque palabras en un diccionario.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4. Estudie el trasfondo histórico del pasaje. Los videos de este curso proveen bastante información, pero puede leer también otros materiales en los "Recursos para Lectura Adicional".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5. Si ha estudiado hebreo, busque el pasaje en el Antiguo Testamento en hebreo, y busque las palabras en un diccionario hebreo.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6. Si tiene algún programa de software electrónico como </w:t>
      </w:r>
      <w:r w:rsidRPr="005A68A2">
        <w:rPr>
          <w:i/>
          <w:iCs/>
          <w:lang w:val="es-ES"/>
        </w:rPr>
        <w:t>Logos</w:t>
      </w:r>
      <w:r w:rsidRPr="005A68A2">
        <w:rPr>
          <w:lang w:val="es-ES"/>
        </w:rPr>
        <w:t xml:space="preserve"> o </w:t>
      </w:r>
      <w:r w:rsidRPr="005A68A2">
        <w:rPr>
          <w:i/>
          <w:iCs/>
          <w:lang w:val="es-ES"/>
        </w:rPr>
        <w:t>BibleWorks</w:t>
      </w:r>
      <w:r w:rsidRPr="005A68A2">
        <w:rPr>
          <w:lang w:val="es-ES"/>
        </w:rPr>
        <w:t xml:space="preserve">, puede utilizar estas herramientas para su análisis del pasaje. Hay algunos programas gratuitos como </w:t>
      </w:r>
      <w:r w:rsidRPr="005A68A2">
        <w:rPr>
          <w:i/>
          <w:iCs/>
          <w:lang w:val="es-ES"/>
        </w:rPr>
        <w:t>E-Sword</w:t>
      </w:r>
      <w:r w:rsidRPr="005A68A2">
        <w:rPr>
          <w:lang w:val="es-ES"/>
        </w:rPr>
        <w:t xml:space="preserve"> o Gateway. Vea los "Recursos para Lectura Adicional" para encontrar estos programas.</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8. Escriba una primera versión del proyecto. Haga un bosquejo y comience a escribir. Siga las "Pautas para escribir un ensayo ".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5A68A2" w:rsidRPr="005A68A2" w:rsidRDefault="005A68A2" w:rsidP="005A68A2">
      <w:pPr>
        <w:rPr>
          <w:lang w:val="es-ES"/>
        </w:rPr>
      </w:pPr>
    </w:p>
    <w:p w:rsidR="005A68A2" w:rsidRPr="005A68A2" w:rsidRDefault="005A68A2" w:rsidP="005A68A2">
      <w:pPr>
        <w:rPr>
          <w:lang w:val="es-ES"/>
        </w:rPr>
      </w:pPr>
      <w:r w:rsidRPr="005A68A2">
        <w:rPr>
          <w:lang w:val="es-ES"/>
        </w:rPr>
        <w:t xml:space="preserve">11. Ponga notas al pie de la página donde haya usado ideas de otra fuente, o donde haya citado otra fuente. Incluya estas fuentes en la bibliografía al final. </w:t>
      </w:r>
    </w:p>
    <w:p w:rsidR="005A68A2" w:rsidRPr="005A68A2" w:rsidRDefault="005A68A2" w:rsidP="005A68A2">
      <w:pPr>
        <w:rPr>
          <w:lang w:val="es-ES"/>
        </w:rPr>
      </w:pPr>
    </w:p>
    <w:p w:rsidR="005A68A2" w:rsidRPr="005A68A2" w:rsidRDefault="005A68A2" w:rsidP="005A68A2">
      <w:pPr>
        <w:rPr>
          <w:lang w:val="es-ES"/>
        </w:rPr>
      </w:pPr>
      <w:r w:rsidRPr="005A68A2">
        <w:rPr>
          <w:lang w:val="es-ES"/>
        </w:rPr>
        <w:lastRenderedPageBreak/>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5A68A2" w:rsidRPr="005A68A2" w:rsidRDefault="005A68A2" w:rsidP="005A68A2">
      <w:pPr>
        <w:rPr>
          <w:lang w:val="es-ES"/>
        </w:rPr>
      </w:pPr>
    </w:p>
    <w:sectPr w:rsidR="005A68A2" w:rsidRPr="005A68A2"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59" w:rsidRDefault="00416059" w:rsidP="00C74B29">
      <w:r>
        <w:separator/>
      </w:r>
    </w:p>
  </w:endnote>
  <w:endnote w:type="continuationSeparator" w:id="0">
    <w:p w:rsidR="00416059" w:rsidRDefault="00416059"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AA738A">
        <w:pPr>
          <w:pStyle w:val="Footer"/>
          <w:jc w:val="center"/>
        </w:pPr>
        <w:fldSimple w:instr=" PAGE   \* MERGEFORMAT ">
          <w:r w:rsidR="00554150">
            <w:rPr>
              <w:noProof/>
            </w:rPr>
            <w:t>6</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59" w:rsidRDefault="00416059" w:rsidP="00C74B29">
      <w:r>
        <w:separator/>
      </w:r>
    </w:p>
  </w:footnote>
  <w:footnote w:type="continuationSeparator" w:id="0">
    <w:p w:rsidR="00416059" w:rsidRDefault="00416059"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1605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857"/>
    <w:rsid w:val="005172C5"/>
    <w:rsid w:val="00523D98"/>
    <w:rsid w:val="00526E53"/>
    <w:rsid w:val="00530C94"/>
    <w:rsid w:val="00537F4D"/>
    <w:rsid w:val="00540DB1"/>
    <w:rsid w:val="00541669"/>
    <w:rsid w:val="00546306"/>
    <w:rsid w:val="0054685C"/>
    <w:rsid w:val="00554150"/>
    <w:rsid w:val="005566E5"/>
    <w:rsid w:val="005624BA"/>
    <w:rsid w:val="00574B44"/>
    <w:rsid w:val="00580AE5"/>
    <w:rsid w:val="00585B8B"/>
    <w:rsid w:val="00585C2C"/>
    <w:rsid w:val="00591A36"/>
    <w:rsid w:val="00591A51"/>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87A17"/>
    <w:rsid w:val="006918E8"/>
    <w:rsid w:val="0069384D"/>
    <w:rsid w:val="006B1678"/>
    <w:rsid w:val="006B1FD6"/>
    <w:rsid w:val="006B3661"/>
    <w:rsid w:val="006C2F1E"/>
    <w:rsid w:val="006C2F2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A738A"/>
    <w:rsid w:val="00AB01D1"/>
    <w:rsid w:val="00AB63B2"/>
    <w:rsid w:val="00AB696D"/>
    <w:rsid w:val="00AC0EC9"/>
    <w:rsid w:val="00AF295B"/>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C3BEF-8AA7-4C78-9FA5-0B0F427F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16083</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7</cp:revision>
  <cp:lastPrinted>2018-08-08T20:36:00Z</cp:lastPrinted>
  <dcterms:created xsi:type="dcterms:W3CDTF">2018-08-08T20:43:00Z</dcterms:created>
  <dcterms:modified xsi:type="dcterms:W3CDTF">2018-08-10T21:04:00Z</dcterms:modified>
</cp:coreProperties>
</file>